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7" w:rsidRDefault="008E1397" w:rsidP="008E1397">
      <w:pPr>
        <w:jc w:val="center"/>
        <w:rPr>
          <w:b/>
          <w:sz w:val="28"/>
          <w:szCs w:val="28"/>
        </w:rPr>
      </w:pPr>
    </w:p>
    <w:p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:rsidR="008E1397" w:rsidRDefault="008E1397" w:rsidP="008E1397">
      <w:pPr>
        <w:jc w:val="center"/>
        <w:rPr>
          <w:color w:val="000000"/>
        </w:rPr>
      </w:pPr>
    </w:p>
    <w:p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:rsidR="00002A3F" w:rsidRDefault="00002A3F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002A3F" w:rsidRDefault="00002A3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TREMUJOR BUXHETOR</w:t>
      </w:r>
    </w:p>
    <w:p w:rsidR="00002A3F" w:rsidRDefault="00002A3F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Mars 201</w:t>
      </w:r>
      <w:r w:rsidR="00E328F7">
        <w:rPr>
          <w:b/>
          <w:bCs/>
          <w:sz w:val="44"/>
          <w:szCs w:val="44"/>
        </w:rPr>
        <w:t>8</w:t>
      </w: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6E2BA2">
      <w:pPr>
        <w:spacing w:line="276" w:lineRule="auto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:rsidR="00002A3F" w:rsidRDefault="00002A3F">
      <w:pPr>
        <w:spacing w:line="276" w:lineRule="auto"/>
        <w:jc w:val="both"/>
      </w:pPr>
    </w:p>
    <w:p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A67C4A">
        <w:t>Mars</w:t>
      </w:r>
      <w:r w:rsidR="0009620A">
        <w:t xml:space="preserve"> 201</w:t>
      </w:r>
      <w:r w:rsidR="00E328F7">
        <w:t>8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:rsidR="00002A3F" w:rsidRDefault="00002A3F">
      <w:pPr>
        <w:spacing w:line="276" w:lineRule="auto"/>
        <w:jc w:val="both"/>
      </w:pPr>
    </w:p>
    <w:p w:rsidR="00002A3F" w:rsidRDefault="00002A3F">
      <w:pPr>
        <w:spacing w:line="276" w:lineRule="auto"/>
        <w:jc w:val="both"/>
      </w:pPr>
    </w:p>
    <w:p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117B54">
        <w:rPr>
          <w:rFonts w:eastAsia="Times New Roman"/>
          <w:b/>
          <w:bCs/>
          <w:lang w:val="en-US"/>
        </w:rPr>
        <w:t>n janar-mars 201</w:t>
      </w:r>
      <w:r w:rsidR="00E328F7">
        <w:rPr>
          <w:rFonts w:eastAsia="Times New Roman"/>
          <w:b/>
          <w:bCs/>
          <w:lang w:val="en-US"/>
        </w:rPr>
        <w:t>8</w:t>
      </w:r>
    </w:p>
    <w:p w:rsidR="00002A3F" w:rsidRDefault="00002A3F">
      <w:pPr>
        <w:spacing w:line="276" w:lineRule="auto"/>
        <w:jc w:val="both"/>
      </w:pPr>
    </w:p>
    <w:p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Granti Qeveritar, Të Hyrat Vetanake, si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 të variancave p</w:t>
      </w:r>
      <w:r w:rsidR="0007120C">
        <w:t>ë</w:t>
      </w:r>
      <w:r w:rsidR="00BF5CDF">
        <w:t>r periudh</w:t>
      </w:r>
      <w:r w:rsidR="0007120C">
        <w:t>ë</w:t>
      </w:r>
      <w:r w:rsidR="00BF5CDF">
        <w:t>n Janar-Mars 201</w:t>
      </w:r>
      <w:r w:rsidR="00E328F7">
        <w:t>8</w:t>
      </w:r>
      <w:r w:rsidR="00BF5CDF">
        <w:t>:</w:t>
      </w:r>
    </w:p>
    <w:p w:rsidR="004C5FB4" w:rsidRDefault="004C5FB4">
      <w:pPr>
        <w:spacing w:line="276" w:lineRule="auto"/>
        <w:jc w:val="both"/>
      </w:pPr>
    </w:p>
    <w:p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:rsidR="00217296" w:rsidRDefault="00217296">
      <w:pPr>
        <w:spacing w:line="276" w:lineRule="auto"/>
        <w:jc w:val="both"/>
      </w:pPr>
    </w:p>
    <w:tbl>
      <w:tblPr>
        <w:tblStyle w:val="ColorfulGrid-Accent6"/>
        <w:tblW w:w="10080" w:type="dxa"/>
        <w:tblLook w:val="04A0"/>
      </w:tblPr>
      <w:tblGrid>
        <w:gridCol w:w="3860"/>
        <w:gridCol w:w="1848"/>
        <w:gridCol w:w="1563"/>
        <w:gridCol w:w="1383"/>
        <w:gridCol w:w="1426"/>
      </w:tblGrid>
      <w:tr w:rsidR="007A3CF8" w:rsidTr="00D81971">
        <w:trPr>
          <w:cnfStyle w:val="100000000000"/>
          <w:trHeight w:val="1908"/>
        </w:trPr>
        <w:tc>
          <w:tcPr>
            <w:cnfStyle w:val="001000000000"/>
            <w:tcW w:w="3860" w:type="dxa"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Përshkrimi i Burimeve të Financimit</w:t>
            </w:r>
          </w:p>
        </w:tc>
        <w:tc>
          <w:tcPr>
            <w:tcW w:w="1848" w:type="dxa"/>
            <w:noWrap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>Buxheti i Realizuar 2017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>Buxheti i miratuar 2018</w:t>
            </w:r>
          </w:p>
        </w:tc>
        <w:tc>
          <w:tcPr>
            <w:tcW w:w="1383" w:type="dxa"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 xml:space="preserve">  Shprehja në % e burimit të financimit të Buxhetit Komunal për vitin 2017</w:t>
            </w:r>
          </w:p>
        </w:tc>
        <w:tc>
          <w:tcPr>
            <w:tcW w:w="1426" w:type="dxa"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 xml:space="preserve">  Shprehja në % e burimit të financimit në Buxhetin Komunal për vitin 2018</w:t>
            </w:r>
          </w:p>
        </w:tc>
      </w:tr>
      <w:tr w:rsidR="007A3CF8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Grantet Qeveritare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5,710,763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6,380,767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88.30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90.30</w:t>
            </w:r>
          </w:p>
        </w:tc>
      </w:tr>
      <w:tr w:rsidR="007A3CF8" w:rsidTr="007841F6">
        <w:trPr>
          <w:trHeight w:val="340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Të hyrat Vetanake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565,838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435,192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8.75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000000"/>
              <w:rPr>
                <w:b/>
              </w:rPr>
            </w:pPr>
            <w:r w:rsidRPr="007A3CF8">
              <w:rPr>
                <w:b/>
              </w:rPr>
              <w:t>6.16</w:t>
            </w:r>
          </w:p>
        </w:tc>
      </w:tr>
      <w:tr w:rsidR="007A3CF8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Të hyrat Vetanake të bartura nga viti paraprak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83,783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189,415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1.30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2.68</w:t>
            </w:r>
          </w:p>
        </w:tc>
      </w:tr>
      <w:tr w:rsidR="007A3CF8" w:rsidTr="007841F6">
        <w:trPr>
          <w:trHeight w:val="322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Donacionet/Financimet tjera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106,739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60,502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1.65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000000"/>
              <w:rPr>
                <w:b/>
              </w:rPr>
            </w:pPr>
            <w:r w:rsidRPr="007A3CF8">
              <w:rPr>
                <w:b/>
              </w:rPr>
              <w:t>0.86</w:t>
            </w:r>
          </w:p>
        </w:tc>
      </w:tr>
      <w:tr w:rsidR="007A3CF8" w:rsidTr="007841F6">
        <w:trPr>
          <w:cnfStyle w:val="000000100000"/>
          <w:trHeight w:val="402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jc w:val="right"/>
              <w:rPr>
                <w:b/>
                <w:color w:val="auto"/>
              </w:rPr>
            </w:pPr>
            <w:r w:rsidRPr="007A3CF8">
              <w:rPr>
                <w:b/>
                <w:color w:val="auto"/>
              </w:rPr>
              <w:t>TOTAL</w:t>
            </w:r>
          </w:p>
        </w:tc>
        <w:tc>
          <w:tcPr>
            <w:tcW w:w="1848" w:type="dxa"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6,467,123</w:t>
            </w:r>
          </w:p>
        </w:tc>
        <w:tc>
          <w:tcPr>
            <w:tcW w:w="1563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7,065,876</w:t>
            </w:r>
          </w:p>
        </w:tc>
        <w:tc>
          <w:tcPr>
            <w:tcW w:w="1383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100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100</w:t>
            </w:r>
          </w:p>
        </w:tc>
      </w:tr>
    </w:tbl>
    <w:p w:rsidR="00BF5CDF" w:rsidRDefault="00BF5CDF">
      <w:pPr>
        <w:spacing w:line="276" w:lineRule="auto"/>
        <w:jc w:val="both"/>
      </w:pPr>
    </w:p>
    <w:p w:rsidR="00C514FE" w:rsidRDefault="00C514FE">
      <w:pPr>
        <w:spacing w:line="276" w:lineRule="auto"/>
        <w:jc w:val="both"/>
      </w:pPr>
    </w:p>
    <w:p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>ëmarrja ë</w:t>
      </w:r>
      <w:r>
        <w:t>sht</w:t>
      </w:r>
      <w:r w:rsidR="009C40DB">
        <w:t>ë</w:t>
      </w:r>
      <w:r>
        <w:t xml:space="preserve"> </w:t>
      </w:r>
      <w:r w:rsidR="007A3CF8">
        <w:t>88.30</w:t>
      </w:r>
      <w:r w:rsidR="009C40DB">
        <w:t>% në</w:t>
      </w:r>
      <w:r>
        <w:t xml:space="preserve"> vitin 201</w:t>
      </w:r>
      <w:r w:rsidR="007A3CF8">
        <w:t>7</w:t>
      </w:r>
      <w:r>
        <w:t xml:space="preserve"> për buxhetin e realizuar, dhe 9</w:t>
      </w:r>
      <w:r w:rsidR="00473818">
        <w:t>0</w:t>
      </w:r>
      <w:r w:rsidR="007A3CF8">
        <w:t>.30</w:t>
      </w:r>
      <w:r>
        <w:t>% n</w:t>
      </w:r>
      <w:r w:rsidR="009C40DB">
        <w:t>ë</w:t>
      </w:r>
      <w:r>
        <w:t xml:space="preserve"> vitin 201</w:t>
      </w:r>
      <w:r w:rsidR="00E328F7">
        <w:t>8</w:t>
      </w:r>
      <w:r>
        <w:t xml:space="preserve"> për</w:t>
      </w:r>
      <w:r w:rsidR="009C40DB">
        <w:t xml:space="preserve"> buxhetin e miratuar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>
        <w:t xml:space="preserve"> të mvarur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:rsidR="00BA31D3" w:rsidRDefault="00BA31D3" w:rsidP="00BA31D3">
      <w:pPr>
        <w:spacing w:line="276" w:lineRule="auto"/>
        <w:ind w:left="360"/>
        <w:jc w:val="both"/>
      </w:pPr>
    </w:p>
    <w:p w:rsidR="0077010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- </w:t>
      </w:r>
      <w:r w:rsidR="00946E59" w:rsidRPr="003A4B2B">
        <w:rPr>
          <w:b/>
        </w:rPr>
        <w:t>Mars</w:t>
      </w:r>
      <w:r w:rsidR="00F37EDB" w:rsidRPr="003A4B2B">
        <w:rPr>
          <w:b/>
        </w:rPr>
        <w:t xml:space="preserve"> 201</w:t>
      </w:r>
      <w:r w:rsidR="00E328F7">
        <w:rPr>
          <w:b/>
        </w:rPr>
        <w:t>8</w:t>
      </w:r>
      <w:r w:rsidR="00F62259">
        <w:t xml:space="preserve"> </w:t>
      </w:r>
      <w:r w:rsidR="004674B8">
        <w:t xml:space="preserve">u inkasuan gjithsej Të Hyra Vetanake në vlerë prej </w:t>
      </w:r>
      <w:r w:rsidR="007A3CF8" w:rsidRPr="007A3CF8">
        <w:rPr>
          <w:b/>
        </w:rPr>
        <w:t>91,195.73</w:t>
      </w:r>
      <w:r w:rsidR="00A045B2" w:rsidRPr="00A045B2">
        <w:rPr>
          <w:rFonts w:eastAsia="Times New Roman"/>
          <w:b/>
          <w:color w:val="000000"/>
          <w:lang w:val="en-US"/>
        </w:rPr>
        <w:t xml:space="preserve"> </w:t>
      </w:r>
      <w:r w:rsidR="00C0697F" w:rsidRPr="00A045B2">
        <w:rPr>
          <w:b/>
        </w:rPr>
        <w:t>€</w:t>
      </w:r>
      <w:r w:rsidR="004F7ADD" w:rsidRPr="00A045B2">
        <w:t>.</w:t>
      </w:r>
      <w:r w:rsidR="004F7ADD">
        <w:t xml:space="preserve"> </w:t>
      </w:r>
      <w:r w:rsidR="004674B8">
        <w:t>Realizimi i të hyrav</w:t>
      </w:r>
      <w:r w:rsidR="004F7ADD">
        <w:t xml:space="preserve">e në periudhën </w:t>
      </w:r>
      <w:r w:rsidR="004F7ADD" w:rsidRPr="003A4B2B">
        <w:rPr>
          <w:b/>
        </w:rPr>
        <w:t xml:space="preserve">Janar - </w:t>
      </w:r>
      <w:r w:rsidR="00946E59" w:rsidRPr="003A4B2B">
        <w:rPr>
          <w:b/>
        </w:rPr>
        <w:t>Mars</w:t>
      </w:r>
      <w:r w:rsidR="00BF6DD2" w:rsidRPr="003A4B2B">
        <w:rPr>
          <w:b/>
        </w:rPr>
        <w:t xml:space="preserve"> 201</w:t>
      </w:r>
      <w:r w:rsidR="00E328F7">
        <w:rPr>
          <w:b/>
        </w:rPr>
        <w:t>8</w:t>
      </w:r>
      <w:r w:rsidR="00946E59">
        <w:t xml:space="preserve"> i shprehur n</w:t>
      </w:r>
      <w:r>
        <w:t>ë</w:t>
      </w:r>
      <w:r w:rsidR="00946E59">
        <w:t xml:space="preserve"> p</w:t>
      </w:r>
      <w:r>
        <w:t>ë</w:t>
      </w:r>
      <w:r w:rsidR="00946E59">
        <w:t>rqindje n</w:t>
      </w:r>
      <w:r w:rsidR="00647A67">
        <w:t>ë</w:t>
      </w:r>
      <w:r w:rsidR="00946E59">
        <w:t xml:space="preserve"> rapor</w:t>
      </w:r>
      <w:r w:rsidR="00174366">
        <w:t>t me Planifikimin p</w:t>
      </w:r>
      <w:r>
        <w:t>ë</w:t>
      </w:r>
      <w:r w:rsidR="00174366">
        <w:t xml:space="preserve">r vitin </w:t>
      </w:r>
      <w:r w:rsidR="00174366" w:rsidRPr="008C56CB">
        <w:rPr>
          <w:b/>
        </w:rPr>
        <w:t>201</w:t>
      </w:r>
      <w:r w:rsidR="00E328F7">
        <w:rPr>
          <w:b/>
        </w:rPr>
        <w:t>8</w:t>
      </w:r>
      <w:r w:rsidR="00946E59">
        <w:t xml:space="preserve"> </w:t>
      </w:r>
      <w:r>
        <w:t>ë</w:t>
      </w:r>
      <w:r w:rsidR="00946E59">
        <w:t>sht</w:t>
      </w:r>
      <w:r>
        <w:t>ë</w:t>
      </w:r>
      <w:r w:rsidR="00946E59">
        <w:t xml:space="preserve"> </w:t>
      </w:r>
      <w:r w:rsidR="00A045B2">
        <w:rPr>
          <w:b/>
        </w:rPr>
        <w:t>1</w:t>
      </w:r>
      <w:r w:rsidR="007A3CF8">
        <w:rPr>
          <w:b/>
        </w:rPr>
        <w:t>6</w:t>
      </w:r>
      <w:r w:rsidR="00946E59" w:rsidRPr="003A4B2B">
        <w:rPr>
          <w:b/>
        </w:rPr>
        <w:t>%</w:t>
      </w:r>
      <w:r w:rsidR="00A045B2">
        <w:t>, ndërsa n</w:t>
      </w:r>
      <w:r>
        <w:t>ë</w:t>
      </w:r>
      <w:r w:rsidR="00A045B2">
        <w:t>se e krahasojm</w:t>
      </w:r>
      <w:r>
        <w:t>ë</w:t>
      </w:r>
      <w:r w:rsidR="00A045B2">
        <w:t xml:space="preserve"> me të njejtën periudhë te vitit </w:t>
      </w:r>
      <w:r w:rsidR="00A045B2" w:rsidRPr="008C56CB">
        <w:rPr>
          <w:b/>
        </w:rPr>
        <w:t>201</w:t>
      </w:r>
      <w:r w:rsidR="00E328F7">
        <w:rPr>
          <w:b/>
        </w:rPr>
        <w:t>7</w:t>
      </w:r>
      <w:r w:rsidR="00A045B2">
        <w:t xml:space="preserve"> atëher</w:t>
      </w:r>
      <w:r>
        <w:t>ë</w:t>
      </w:r>
      <w:r w:rsidR="00A045B2">
        <w:t xml:space="preserve"> n</w:t>
      </w:r>
      <w:r>
        <w:t>ë t</w:t>
      </w:r>
      <w:r w:rsidR="00A045B2">
        <w:t xml:space="preserve">otal inkasimi i të Hyrave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A045B2" w:rsidRPr="00A045B2">
        <w:rPr>
          <w:b/>
        </w:rPr>
        <w:t>3%</w:t>
      </w:r>
      <w:r w:rsidR="00A045B2">
        <w:t xml:space="preserve"> me i madh  n</w:t>
      </w:r>
      <w:r>
        <w:t>ë</w:t>
      </w:r>
      <w:r w:rsidR="00A045B2">
        <w:t xml:space="preserve"> </w:t>
      </w:r>
      <w:r w:rsidR="008C56CB">
        <w:t>vitin 201</w:t>
      </w:r>
      <w:r w:rsidR="00E328F7">
        <w:t>8</w:t>
      </w:r>
      <w:r w:rsidR="00A045B2">
        <w:t xml:space="preserve"> </w:t>
      </w:r>
      <w:r w:rsidR="00946E59">
        <w:t>dhe nëse e marrim si indikator</w:t>
      </w:r>
      <w:r w:rsidR="00955132">
        <w:t>ë</w:t>
      </w:r>
      <w:r w:rsidR="00B46E3C">
        <w:t xml:space="preserve">  këtë periudhë</w:t>
      </w:r>
      <w:r w:rsidR="00946E59">
        <w:t xml:space="preserve"> edhe për periudhat</w:t>
      </w:r>
      <w:r w:rsidR="00A045B2">
        <w:t xml:space="preserve"> e ardh</w:t>
      </w:r>
      <w:r w:rsidR="00955132">
        <w:t>ë</w:t>
      </w:r>
      <w:r w:rsidR="00A045B2">
        <w:t>shme atëher</w:t>
      </w:r>
      <w:r w:rsidR="00955132">
        <w:t>ë</w:t>
      </w:r>
      <w:r w:rsidR="00946E59">
        <w:t xml:space="preserve"> na </w:t>
      </w:r>
      <w:r w:rsidR="00946E59">
        <w:lastRenderedPageBreak/>
        <w:t>tregon se n</w:t>
      </w:r>
      <w:r w:rsidR="00955132">
        <w:t>ë</w:t>
      </w:r>
      <w:r w:rsidR="00946E59">
        <w:t xml:space="preserve"> periudhat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946E59" w:rsidRPr="00A045B2">
        <w:t xml:space="preserve">apo pretendimit </w:t>
      </w:r>
      <w:r w:rsidR="003A4B2B" w:rsidRPr="00A045B2">
        <w:t>t</w:t>
      </w:r>
      <w:r w:rsidR="00955132">
        <w:t>ë</w:t>
      </w:r>
      <w:r w:rsidR="003A4B2B" w:rsidRPr="00A045B2">
        <w:t xml:space="preserve"> realizimit</w:t>
      </w:r>
      <w:r w:rsidR="00A045B2" w:rsidRPr="00A045B2">
        <w:t xml:space="preserve"> sipas planifikimi</w:t>
      </w:r>
      <w:r w:rsidR="00955132">
        <w:t>t</w:t>
      </w:r>
      <w:r w:rsidR="00A045B2" w:rsidRPr="00A045B2">
        <w:t xml:space="preserve"> buxhetor</w:t>
      </w:r>
      <w:r w:rsidR="00955132">
        <w:t>ë</w:t>
      </w:r>
      <w:r w:rsidR="00A045B2" w:rsidRPr="00A045B2">
        <w:t xml:space="preserve"> 201</w:t>
      </w:r>
      <w:r w:rsidR="00E328F7">
        <w:t>8</w:t>
      </w:r>
      <w:r w:rsidR="003A4B2B" w:rsidRPr="00A045B2">
        <w:t>, dhe kjo do t</w:t>
      </w:r>
      <w:r w:rsidR="00955132">
        <w:t>ë</w:t>
      </w:r>
      <w:r w:rsidR="003A4B2B" w:rsidRPr="00A045B2">
        <w:t xml:space="preserve"> b</w:t>
      </w:r>
      <w:r w:rsidR="00955132">
        <w:t>ë</w:t>
      </w:r>
      <w:r w:rsidR="003A4B2B" w:rsidRPr="00A045B2">
        <w:t>het me theks t</w:t>
      </w:r>
      <w:r w:rsidR="00955132">
        <w:t>ë</w:t>
      </w:r>
      <w:r w:rsidR="003A4B2B" w:rsidRPr="00A045B2">
        <w:t xml:space="preserve"> veqant</w:t>
      </w:r>
      <w:r w:rsidR="00955132">
        <w:t>ë</w:t>
      </w:r>
      <w:r w:rsidR="003A4B2B" w:rsidRPr="00A045B2">
        <w:t xml:space="preserve"> n</w:t>
      </w:r>
      <w:r w:rsidR="00955132">
        <w:t>ë</w:t>
      </w:r>
      <w:r w:rsidR="003A4B2B" w:rsidRPr="00A045B2">
        <w:t xml:space="preserve"> pozicionet e të hyrave ku kemi trende negative te inkasimit 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siq shi</w:t>
      </w:r>
      <w:r w:rsidR="00955132">
        <w:t>h</w:t>
      </w:r>
      <w:r w:rsidR="0077010C" w:rsidRPr="00A045B2">
        <w:t>et edhe në tabel</w:t>
      </w:r>
      <w:r w:rsidR="00955132">
        <w:t>ë</w:t>
      </w:r>
      <w:r w:rsidR="0077010C" w:rsidRPr="00A045B2">
        <w:t xml:space="preserve">. </w:t>
      </w:r>
    </w:p>
    <w:p w:rsidR="004674B8" w:rsidRDefault="0077010C" w:rsidP="003A4B2B">
      <w:pPr>
        <w:spacing w:line="276" w:lineRule="auto"/>
        <w:jc w:val="both"/>
      </w:pPr>
      <w:r w:rsidRPr="001D6508">
        <w:t xml:space="preserve">Këto </w:t>
      </w:r>
      <w:r w:rsidR="00647A67" w:rsidRPr="001D6508">
        <w:t>trende</w:t>
      </w:r>
      <w:r w:rsidRPr="001D6508">
        <w:t xml:space="preserve"> </w:t>
      </w:r>
      <w:r w:rsidR="00647A67" w:rsidRPr="001D6508">
        <w:t>janë ndikuar nga disa faktor</w:t>
      </w:r>
      <w:r w:rsidR="00A95C24" w:rsidRPr="001D6508">
        <w:t>ë</w:t>
      </w:r>
      <w:r w:rsidR="008C56CB" w:rsidRPr="001D6508">
        <w:t xml:space="preserve"> siq janë</w:t>
      </w:r>
      <w:r w:rsidR="007A3CF8" w:rsidRPr="001D6508">
        <w:t>: për tatimin në pronë-</w:t>
      </w:r>
      <w:r w:rsidR="008C56CB" w:rsidRPr="001D6508">
        <w:t xml:space="preserve"> </w:t>
      </w:r>
      <w:r w:rsidR="007A3CF8" w:rsidRPr="001D6508">
        <w:t xml:space="preserve">shpërndarja e </w:t>
      </w:r>
      <w:r w:rsidR="008C56CB" w:rsidRPr="001D6508">
        <w:t>faturimi</w:t>
      </w:r>
      <w:r w:rsidR="007A3CF8" w:rsidRPr="001D6508">
        <w:t>t</w:t>
      </w:r>
      <w:r w:rsidR="008C56CB" w:rsidRPr="001D6508">
        <w:t xml:space="preserve"> për </w:t>
      </w:r>
      <w:r w:rsidR="00A95C24" w:rsidRPr="001D6508">
        <w:t xml:space="preserve">vitin </w:t>
      </w:r>
      <w:r w:rsidR="008C56CB" w:rsidRPr="001D6508">
        <w:t>201</w:t>
      </w:r>
      <w:r w:rsidR="007A3CF8" w:rsidRPr="001D6508">
        <w:t>8</w:t>
      </w:r>
      <w:r w:rsidR="00A95C24" w:rsidRPr="001D6508">
        <w:t>-të</w:t>
      </w:r>
      <w:r w:rsidR="008C56CB" w:rsidRPr="001D6508">
        <w:t xml:space="preserve"> </w:t>
      </w:r>
      <w:r w:rsidR="007A3CF8" w:rsidRPr="001D6508">
        <w:t>bëhe</w:t>
      </w:r>
      <w:r w:rsidR="001E115D">
        <w:t xml:space="preserve">t deri në fundë të muajit Mars, </w:t>
      </w:r>
      <w:r w:rsidR="008C56CB" w:rsidRPr="001D6508">
        <w:t>fillimi</w:t>
      </w:r>
      <w:r w:rsidR="008C56CB" w:rsidRPr="008C56CB">
        <w:t xml:space="preserve"> i vitit</w:t>
      </w:r>
      <w:r w:rsidR="008C56CB">
        <w:t>(kushtet atmosferike)</w:t>
      </w:r>
      <w:r w:rsidR="008C56CB" w:rsidRPr="008C56CB">
        <w:t xml:space="preserve"> ka</w:t>
      </w:r>
      <w:r w:rsidR="008C56CB">
        <w:t>n</w:t>
      </w:r>
      <w:r w:rsidR="00A95C24">
        <w:t>ë</w:t>
      </w:r>
      <w:r w:rsidR="008C56CB" w:rsidRPr="008C56CB">
        <w:t xml:space="preserve"> shtyr</w:t>
      </w:r>
      <w:r w:rsidR="00A95C24">
        <w:t>ë</w:t>
      </w:r>
      <w:r w:rsidR="008C56CB" w:rsidRPr="008C56CB">
        <w:t xml:space="preserve"> aktivitet n</w:t>
      </w:r>
      <w:r w:rsidR="00A95C24">
        <w:t>ë</w:t>
      </w:r>
      <w:r w:rsidR="008C56CB" w:rsidRPr="008C56CB">
        <w:t xml:space="preserve"> teren nga qytetar</w:t>
      </w:r>
      <w:r w:rsidR="00A95C24">
        <w:t>ë</w:t>
      </w:r>
      <w:r w:rsidR="008C56CB" w:rsidRPr="008C56CB">
        <w:t>t p</w:t>
      </w:r>
      <w:r w:rsidR="00A95C24">
        <w:t>ë</w:t>
      </w:r>
      <w:r w:rsidR="008C56CB" w:rsidRPr="008C56CB">
        <w:t>r t</w:t>
      </w:r>
      <w:r w:rsidR="00A95C24">
        <w:t>ë</w:t>
      </w:r>
      <w:r w:rsidR="008C56CB" w:rsidRPr="008C56CB">
        <w:t xml:space="preserve"> pasur k</w:t>
      </w:r>
      <w:r w:rsidR="00A95C24">
        <w:t>ë</w:t>
      </w:r>
      <w:r w:rsidR="008C56CB" w:rsidRPr="008C56CB">
        <w:t>rkesa n</w:t>
      </w:r>
      <w:r w:rsidR="00A95C24">
        <w:t>ë</w:t>
      </w:r>
      <w:r w:rsidR="008C56CB" w:rsidRPr="008C56CB">
        <w:t xml:space="preserve"> aktivitet siq jan</w:t>
      </w:r>
      <w:r w:rsidR="00A95C24">
        <w:t>ë</w:t>
      </w:r>
      <w:r w:rsidR="008C56CB" w:rsidRPr="008C56CB">
        <w:t>:</w:t>
      </w:r>
      <w:r w:rsidR="00A95C24">
        <w:t xml:space="preserve"> </w:t>
      </w:r>
      <w:r w:rsidR="008C56CB" w:rsidRPr="008C56CB">
        <w:t>matjet gjeodezike, lejet e nd</w:t>
      </w:r>
      <w:r w:rsidR="00A95C24">
        <w:t>ë</w:t>
      </w:r>
      <w:r w:rsidR="008C56CB" w:rsidRPr="008C56CB">
        <w:t>rtimit e k</w:t>
      </w:r>
      <w:r w:rsidR="00A95C24">
        <w:t>ë</w:t>
      </w:r>
      <w:r w:rsidR="008C56CB" w:rsidRPr="008C56CB">
        <w:t>shtu me radh</w:t>
      </w:r>
      <w:r w:rsidR="00A95C24">
        <w:t>ë</w:t>
      </w:r>
      <w:r w:rsidR="005B21E5">
        <w:t>. G</w:t>
      </w:r>
      <w:r w:rsidR="008C56CB" w:rsidRPr="008C56CB">
        <w:t>jithashtu</w:t>
      </w:r>
      <w:r w:rsidR="00807826" w:rsidRPr="008C56CB">
        <w:t xml:space="preserve"> aktivitetet gjeodezike jan</w:t>
      </w:r>
      <w:r w:rsidR="00A95C24">
        <w:t>ë</w:t>
      </w:r>
      <w:r w:rsidR="00807826" w:rsidRPr="008C56CB">
        <w:t xml:space="preserve"> kryer edhe nga sektori privat dhe periudha jo e p</w:t>
      </w:r>
      <w:r w:rsidR="00A95C24">
        <w:t>ë</w:t>
      </w:r>
      <w:r w:rsidR="00807826" w:rsidRPr="008C56CB">
        <w:t>rshtatshme p</w:t>
      </w:r>
      <w:r w:rsidR="00A95C24">
        <w:t>ër këto aktivite ka ndikuar që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kemi trend </w:t>
      </w:r>
      <w:r w:rsidR="008C56CB">
        <w:t>të ul</w:t>
      </w:r>
      <w:r w:rsidR="00A95C24">
        <w:t>ë</w:t>
      </w:r>
      <w:r w:rsidR="008C56CB">
        <w:t>t n</w:t>
      </w:r>
      <w:r w:rsidR="00A95C24">
        <w:t>ë</w:t>
      </w:r>
      <w:r w:rsidR="008C56CB">
        <w:t xml:space="preserve"> disa pozicione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inkasimit, pozicion d</w:t>
      </w:r>
      <w:r w:rsidR="00A95C24">
        <w:t>ë</w:t>
      </w:r>
      <w:r w:rsidR="00807826" w:rsidRPr="008C56CB">
        <w:t>nimet n</w:t>
      </w:r>
      <w:r w:rsidR="001C49D0">
        <w:t>ë</w:t>
      </w:r>
      <w:r w:rsidR="00807826" w:rsidRPr="008C56CB">
        <w:t xml:space="preserve"> komuikacion dhe gjykat</w:t>
      </w:r>
      <w:r w:rsidR="001C49D0">
        <w:t>ë</w:t>
      </w:r>
      <w:r w:rsidR="00807826" w:rsidRPr="008C56CB">
        <w:t xml:space="preserve"> jan</w:t>
      </w:r>
      <w:r w:rsidR="001C49D0">
        <w:t>ë</w:t>
      </w:r>
      <w:r w:rsidR="00807826" w:rsidRPr="008C56CB">
        <w:t xml:space="preserve"> t</w:t>
      </w:r>
      <w:r w:rsidR="001C49D0">
        <w:t>ë</w:t>
      </w:r>
      <w:r w:rsidR="00807826" w:rsidRPr="008C56CB">
        <w:t xml:space="preserve"> hyra q</w:t>
      </w:r>
      <w:r w:rsidR="001C49D0">
        <w:t>ë</w:t>
      </w:r>
      <w:r w:rsidR="00807826" w:rsidRPr="008C56CB">
        <w:t xml:space="preserve"> inkasohen</w:t>
      </w:r>
      <w:r w:rsidR="00807826">
        <w:t xml:space="preserve"> p</w:t>
      </w:r>
      <w:r w:rsidR="001C49D0">
        <w:t>ë</w:t>
      </w:r>
      <w:r w:rsidR="00807826">
        <w:t>rmes instuticioneve tjera pa ndikim direkt t</w:t>
      </w:r>
      <w:r w:rsidR="001C49D0">
        <w:t>ë</w:t>
      </w:r>
      <w:r w:rsidR="00807826">
        <w:t xml:space="preserve"> komun</w:t>
      </w:r>
      <w:r w:rsidR="001C49D0">
        <w:t>ë</w:t>
      </w:r>
      <w:r w:rsidR="00807826">
        <w:t>s</w:t>
      </w:r>
      <w:r>
        <w:t>, si dhe licencat dhe p</w:t>
      </w:r>
      <w:r w:rsidR="001C49D0">
        <w:t>ë</w:t>
      </w:r>
      <w:r>
        <w:t>lqimet komunale janë ndikuar nga strukturimi i tyre n</w:t>
      </w:r>
      <w:r w:rsidR="001C49D0">
        <w:t>ë</w:t>
      </w:r>
      <w:r>
        <w:t xml:space="preserve"> aspektin e largimit si taksa dhe ulje t</w:t>
      </w:r>
      <w:r w:rsidR="001C49D0">
        <w:t>ë</w:t>
      </w:r>
      <w:r>
        <w:t xml:space="preserve"> tarifave n</w:t>
      </w:r>
      <w:r w:rsidR="001C49D0">
        <w:t>ë</w:t>
      </w:r>
      <w:r>
        <w:t xml:space="preserve"> licenca dhe p</w:t>
      </w:r>
      <w:r w:rsidR="001C49D0">
        <w:t>ë</w:t>
      </w:r>
      <w:r>
        <w:t>lqime</w:t>
      </w:r>
      <w:r w:rsidR="003A4B2B">
        <w:t>.</w:t>
      </w:r>
    </w:p>
    <w:p w:rsidR="00BA31D3" w:rsidRDefault="00BA31D3" w:rsidP="003A4B2B">
      <w:pPr>
        <w:spacing w:line="276" w:lineRule="auto"/>
        <w:jc w:val="both"/>
      </w:pPr>
    </w:p>
    <w:p w:rsidR="00BA31D3" w:rsidRDefault="004C5FB4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Vetanake për periudhën Janar - Mars 201</w:t>
      </w:r>
      <w:r w:rsidR="00E328F7">
        <w:rPr>
          <w:rFonts w:eastAsia="Times New Roman"/>
          <w:i/>
          <w:sz w:val="22"/>
          <w:szCs w:val="22"/>
          <w:lang w:val="en-US"/>
        </w:rPr>
        <w:t>8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krahasuar me planifikimin vjetor 201</w:t>
      </w:r>
      <w:r w:rsidR="00A911EA">
        <w:rPr>
          <w:rFonts w:eastAsia="Times New Roman"/>
          <w:i/>
          <w:sz w:val="22"/>
          <w:szCs w:val="22"/>
          <w:lang w:val="en-US"/>
        </w:rPr>
        <w:t>8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dhe krahasimi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p w:rsidR="00D65693" w:rsidRPr="00D65693" w:rsidRDefault="00D65693" w:rsidP="003A4B2B">
      <w:pPr>
        <w:spacing w:line="276" w:lineRule="auto"/>
        <w:jc w:val="both"/>
        <w:rPr>
          <w:rFonts w:eastAsia="Times New Roman"/>
          <w:sz w:val="22"/>
          <w:szCs w:val="22"/>
          <w:lang w:val="en-US"/>
        </w:rPr>
      </w:pPr>
    </w:p>
    <w:tbl>
      <w:tblPr>
        <w:tblW w:w="10610" w:type="dxa"/>
        <w:tblInd w:w="118" w:type="dxa"/>
        <w:tblLayout w:type="fixed"/>
        <w:tblLook w:val="04A0"/>
      </w:tblPr>
      <w:tblGrid>
        <w:gridCol w:w="1880"/>
        <w:gridCol w:w="2340"/>
        <w:gridCol w:w="1260"/>
        <w:gridCol w:w="1260"/>
        <w:gridCol w:w="1530"/>
        <w:gridCol w:w="1350"/>
        <w:gridCol w:w="990"/>
      </w:tblGrid>
      <w:tr w:rsidR="00D65693" w:rsidRPr="00D65693" w:rsidTr="001D6508">
        <w:trPr>
          <w:trHeight w:val="20"/>
        </w:trPr>
        <w:tc>
          <w:tcPr>
            <w:tcW w:w="106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Paraqitja e përgjithshme tabelare e realizimit të  të Hyrave  Vetanake për periudhën Janar - Mars 2018 krahasuar me planifikimin si dhe periudhën e njejtë të vitit paraprak. </w:t>
            </w:r>
          </w:p>
        </w:tc>
      </w:tr>
      <w:tr w:rsidR="00217296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 Realizimi Janar-Mars 2017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 Realizimi Janar-Mars 2018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C=((B-A)/B)*100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Tatimi në pronë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20,584.80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29,627.38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207,677.00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14%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2,451.00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-545%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Taksat për automjete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9,344.00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10,860.00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52,000.00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21%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10,224.47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1,242.08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-723%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15,000.00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8%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Lejet e ndërtimit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2,802.99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8,131.11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65,000.00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13%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16,085.00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12,904.50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-25%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65,000.00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Cerifkatat dhe dokumentet zyrtare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7,367.00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6,565.00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33,003.00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Të ardhurat nga arsimi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3,221.00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2,890.00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18,780.00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15%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 xml:space="preserve">Te ardhurat në </w:t>
            </w: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shëndetësi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lastRenderedPageBreak/>
              <w:t xml:space="preserve">Drejtoria për </w:t>
            </w:r>
            <w:r w:rsidRPr="00D65693">
              <w:rPr>
                <w:rFonts w:eastAsia="Times New Roman"/>
                <w:color w:val="000000"/>
                <w:lang w:val="en-US"/>
              </w:rPr>
              <w:lastRenderedPageBreak/>
              <w:t>Shëndetësi dhe Mirëqenie Sociale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lastRenderedPageBreak/>
              <w:t>8,424.00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9,353.20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33,000.00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28%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Dënimet në komunikacion dhe gjykatë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5,582.50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5,995.00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42,000.00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14%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Licencat/Pëlqim Komunal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2,135.19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3,247.46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22,000.00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15%</w:t>
            </w:r>
          </w:p>
        </w:tc>
      </w:tr>
      <w:tr w:rsidR="001D6508" w:rsidRPr="00D65693" w:rsidTr="001D6508">
        <w:trPr>
          <w:trHeight w:val="20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88,221.95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91,195.73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573,460.00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16%</w:t>
            </w:r>
          </w:p>
        </w:tc>
      </w:tr>
    </w:tbl>
    <w:p w:rsidR="00D65693" w:rsidRDefault="00D65693" w:rsidP="003A4B2B">
      <w:pPr>
        <w:spacing w:line="276" w:lineRule="auto"/>
        <w:jc w:val="both"/>
      </w:pPr>
    </w:p>
    <w:p w:rsidR="008251E6" w:rsidRPr="00BA31D3" w:rsidRDefault="00174366" w:rsidP="008251E6">
      <w:pPr>
        <w:spacing w:line="276" w:lineRule="auto"/>
        <w:jc w:val="both"/>
        <w:rPr>
          <w:b/>
          <w:i/>
          <w:sz w:val="18"/>
          <w:szCs w:val="18"/>
        </w:rPr>
      </w:pPr>
      <w:r w:rsidRPr="00BA31D3">
        <w:rPr>
          <w:rFonts w:eastAsia="Times New Roman"/>
          <w:i/>
          <w:sz w:val="18"/>
          <w:szCs w:val="18"/>
          <w:lang w:val="en-US"/>
        </w:rPr>
        <w:t>.</w:t>
      </w:r>
    </w:p>
    <w:p w:rsidR="008251E6" w:rsidRDefault="008251E6" w:rsidP="008251E6">
      <w:pPr>
        <w:spacing w:line="276" w:lineRule="auto"/>
        <w:jc w:val="both"/>
        <w:rPr>
          <w:b/>
          <w:sz w:val="28"/>
        </w:rPr>
      </w:pPr>
    </w:p>
    <w:p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:rsidR="00BA31D3" w:rsidRDefault="00BA31D3" w:rsidP="008251E6">
      <w:pPr>
        <w:spacing w:line="276" w:lineRule="auto"/>
        <w:jc w:val="both"/>
        <w:rPr>
          <w:b/>
          <w:sz w:val="28"/>
        </w:rPr>
      </w:pPr>
    </w:p>
    <w:p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</w:t>
      </w:r>
      <w:r w:rsidR="002319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e bartura</w:t>
      </w:r>
      <w:r w:rsidR="00130C96">
        <w:rPr>
          <w:rFonts w:eastAsia="Times New Roman"/>
          <w:lang w:val="en-US"/>
        </w:rPr>
        <w:t xml:space="preserve"> nga viti paraprak</w:t>
      </w:r>
      <w:r w:rsidR="00F309E8">
        <w:rPr>
          <w:rFonts w:eastAsia="Times New Roman"/>
          <w:lang w:val="en-US"/>
        </w:rPr>
        <w:t xml:space="preserve"> nga 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30C96">
        <w:rPr>
          <w:rFonts w:eastAsia="Times New Roman"/>
          <w:lang w:val="en-US"/>
        </w:rPr>
        <w:t>.</w:t>
      </w:r>
    </w:p>
    <w:p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/>
      </w:tblPr>
      <w:tblGrid>
        <w:gridCol w:w="2175"/>
        <w:gridCol w:w="2970"/>
        <w:gridCol w:w="4410"/>
      </w:tblGrid>
      <w:tr w:rsidR="00130C96" w:rsidRPr="00130C96" w:rsidTr="008251E6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1D6508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130C96" w:rsidRDefault="001D6508" w:rsidP="001D650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Japonez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E85F24" w:rsidRDefault="001D6508" w:rsidP="001D650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Drejtoria e Shëndetsisë-Kujdesi Primar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6508" w:rsidRPr="00E85F24" w:rsidRDefault="001D6508" w:rsidP="001D6508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60,375.00</w:t>
            </w:r>
          </w:p>
        </w:tc>
      </w:tr>
      <w:tr w:rsidR="00130C96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130C96" w:rsidRDefault="00130C96" w:rsidP="001D650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Qeveria Zvic</w:t>
            </w:r>
            <w:r w:rsidR="003B6AAF">
              <w:rPr>
                <w:rFonts w:eastAsia="Times New Roman"/>
                <w:b/>
                <w:bCs/>
                <w:color w:val="000000"/>
                <w:lang w:val="en-US"/>
              </w:rPr>
              <w:t>e</w:t>
            </w: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rane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 I bartur nga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130C96" w:rsidP="00130C96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Planifikim Urban, Kadastër dhe Gjeodezi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130C96" w:rsidP="001D6508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 xml:space="preserve">                                     </w:t>
            </w:r>
            <w:r w:rsidR="001D6508">
              <w:rPr>
                <w:rFonts w:eastAsia="Times New Roman"/>
                <w:lang w:val="en-US"/>
              </w:rPr>
              <w:t>2.06</w:t>
            </w:r>
            <w:r w:rsidRPr="00E85F24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E85F24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6219C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6219C5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6219C5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 xml:space="preserve">104.00 </w:t>
            </w:r>
          </w:p>
        </w:tc>
      </w:tr>
      <w:tr w:rsidR="00E85F24" w:rsidRPr="00130C96" w:rsidTr="00131198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130C9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Britaneze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nga 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1D6508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 w:rsidR="001D6508">
              <w:rPr>
                <w:rFonts w:eastAsia="Times New Roman"/>
                <w:lang w:val="en-US"/>
              </w:rPr>
              <w:t>1.00</w:t>
            </w:r>
          </w:p>
        </w:tc>
      </w:tr>
      <w:tr w:rsidR="00E85F24" w:rsidRPr="00130C96" w:rsidTr="00131198">
        <w:trPr>
          <w:trHeight w:val="350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F24" w:rsidRPr="00E85F24" w:rsidRDefault="00E85F24" w:rsidP="00130C96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F24" w:rsidRPr="00E85F24" w:rsidRDefault="001D6508" w:rsidP="001D6508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60,502.00</w:t>
            </w:r>
          </w:p>
        </w:tc>
      </w:tr>
    </w:tbl>
    <w:p w:rsidR="00242783" w:rsidRPr="00130C96" w:rsidRDefault="00242783" w:rsidP="00130C96"/>
    <w:p w:rsidR="0031122B" w:rsidRDefault="003112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6E2BA2">
      <w:pPr>
        <w:spacing w:line="276" w:lineRule="auto"/>
        <w:rPr>
          <w:b/>
          <w:sz w:val="28"/>
        </w:rPr>
      </w:pPr>
    </w:p>
    <w:p w:rsidR="006E2BA2" w:rsidRDefault="006E2BA2" w:rsidP="006E2BA2">
      <w:pPr>
        <w:spacing w:line="276" w:lineRule="auto"/>
        <w:rPr>
          <w:b/>
          <w:sz w:val="28"/>
        </w:rPr>
      </w:pPr>
    </w:p>
    <w:p w:rsidR="004674B8" w:rsidRDefault="00117B54" w:rsidP="00117B54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117B54" w:rsidRPr="00117B54" w:rsidRDefault="00117B54" w:rsidP="00117B5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>
        <w:rPr>
          <w:b/>
          <w:sz w:val="28"/>
        </w:rPr>
        <w:t>r-mars 201</w:t>
      </w:r>
      <w:r w:rsidR="00A911EA">
        <w:rPr>
          <w:b/>
          <w:sz w:val="28"/>
        </w:rPr>
        <w:t>8</w:t>
      </w:r>
    </w:p>
    <w:p w:rsidR="00117B54" w:rsidRDefault="00117B54">
      <w:pPr>
        <w:spacing w:line="276" w:lineRule="auto"/>
        <w:jc w:val="both"/>
        <w:rPr>
          <w:b/>
          <w:sz w:val="28"/>
        </w:rPr>
      </w:pPr>
    </w:p>
    <w:p w:rsidR="00117B54" w:rsidRDefault="00117B54">
      <w:pPr>
        <w:spacing w:line="276" w:lineRule="auto"/>
        <w:jc w:val="both"/>
        <w:rPr>
          <w:sz w:val="28"/>
        </w:rPr>
      </w:pPr>
    </w:p>
    <w:p w:rsidR="004674B8" w:rsidRPr="00A911EA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117B54" w:rsidRPr="007841F6">
        <w:rPr>
          <w:b/>
        </w:rPr>
        <w:t>1,</w:t>
      </w:r>
      <w:r w:rsidR="00C6536E">
        <w:rPr>
          <w:b/>
        </w:rPr>
        <w:t>289</w:t>
      </w:r>
      <w:r w:rsidR="00117B54" w:rsidRPr="007841F6">
        <w:rPr>
          <w:b/>
        </w:rPr>
        <w:t>,</w:t>
      </w:r>
      <w:r w:rsidR="00C6536E">
        <w:rPr>
          <w:b/>
        </w:rPr>
        <w:t>974.29</w:t>
      </w:r>
      <w:r w:rsidR="00A94703" w:rsidRPr="007841F6">
        <w:rPr>
          <w:b/>
        </w:rPr>
        <w:t xml:space="preserve">€ ose </w:t>
      </w:r>
      <w:r w:rsidR="00C6536E">
        <w:rPr>
          <w:b/>
        </w:rPr>
        <w:t>19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2018</w:t>
      </w:r>
      <w:r>
        <w:t>,</w:t>
      </w:r>
      <w:r w:rsidR="00C6536E">
        <w:t xml:space="preserve"> ndërsa shpenzoj </w:t>
      </w:r>
      <w:r w:rsidR="00C6536E" w:rsidRPr="00C6536E">
        <w:rPr>
          <w:b/>
        </w:rPr>
        <w:t>56%</w:t>
      </w:r>
      <w:r w:rsidR="00C6536E">
        <w:t xml:space="preserve"> nëraport me Alokimet e pranuar për këtë periudh </w:t>
      </w:r>
      <w:r>
        <w:t xml:space="preserve"> përfshirë </w:t>
      </w:r>
      <w:r w:rsidR="00C6536E">
        <w:t>të gjitha burimet e financimit.</w:t>
      </w:r>
    </w:p>
    <w:p w:rsidR="0087162B" w:rsidRDefault="0087162B">
      <w:pPr>
        <w:spacing w:line="276" w:lineRule="auto"/>
        <w:jc w:val="both"/>
      </w:pPr>
    </w:p>
    <w:p w:rsidR="0087162B" w:rsidRPr="00A911EA" w:rsidRDefault="004674B8">
      <w:pPr>
        <w:spacing w:line="276" w:lineRule="auto"/>
        <w:jc w:val="both"/>
        <w:rPr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201</w:t>
      </w:r>
      <w:r w:rsidR="00A911EA">
        <w:t>8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BA31D3">
        <w:t xml:space="preserve">n janar-mars </w:t>
      </w:r>
      <w:r w:rsidR="00C6536E">
        <w:t>-</w:t>
      </w:r>
      <w:r w:rsidR="00BA31D3">
        <w:t>TM1 201</w:t>
      </w:r>
      <w:r w:rsidR="00A911EA">
        <w:t>8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A911EA">
        <w:rPr>
          <w:b/>
        </w:rPr>
        <w:t>port me buxhetin e miratuar 2018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>
        <w:t>n janar-mars 201</w:t>
      </w:r>
      <w:r w:rsidR="00A911EA">
        <w:t>8</w:t>
      </w:r>
      <w:r>
        <w:t xml:space="preserve"> është në shum</w:t>
      </w:r>
      <w:r w:rsidR="00644FBB">
        <w:t>ë</w:t>
      </w:r>
      <w:r w:rsidR="00D73046">
        <w:t>n</w:t>
      </w:r>
      <w:r w:rsidR="00E42F98">
        <w:t xml:space="preserve"> 1,</w:t>
      </w:r>
      <w:r w:rsidR="00ED3751">
        <w:t>289,974.29</w:t>
      </w:r>
      <w:r w:rsidR="00E42F98">
        <w:t>€ apo shprehur n</w:t>
      </w:r>
      <w:r w:rsidR="00644FBB">
        <w:t>ë</w:t>
      </w:r>
      <w:r w:rsidR="00231481">
        <w:t xml:space="preserve"> raport me b</w:t>
      </w:r>
      <w:r w:rsidR="00E42F98">
        <w:t xml:space="preserve">uxhetin e miratuar </w:t>
      </w:r>
      <w:r w:rsidR="00CA1A24">
        <w:t>me shkallë</w:t>
      </w:r>
      <w:r w:rsidR="00ED3751">
        <w:t>n 19</w:t>
      </w:r>
      <w:r w:rsidR="00E42F98"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ED3751">
        <w:t>58</w:t>
      </w:r>
      <w:r w:rsidR="00B47E3D" w:rsidRPr="00B47E3D">
        <w:t xml:space="preserve">% </w:t>
      </w:r>
      <w:r w:rsidR="00CF4D43">
        <w:t>,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ED3751">
        <w:t>4</w:t>
      </w:r>
      <w:r w:rsidR="00B47E3D" w:rsidRPr="00B47E3D">
        <w:t>%</w:t>
      </w:r>
      <w:r w:rsidR="00E770AB">
        <w:t>,</w:t>
      </w:r>
      <w:r w:rsidR="00B47E3D" w:rsidRPr="00B47E3D">
        <w:t xml:space="preserve"> nd</w:t>
      </w:r>
      <w:r w:rsidR="004B52A5">
        <w:t>ërsa 22-THV ende nuk janë</w:t>
      </w:r>
      <w:r w:rsidR="00B47E3D" w:rsidRPr="00B47E3D">
        <w:t xml:space="preserve"> realizuar shpenzime p</w:t>
      </w:r>
      <w:r w:rsidR="004B52A5">
        <w:t>ë</w:t>
      </w:r>
      <w:r w:rsidR="00B47E3D" w:rsidRPr="00B47E3D">
        <w:t>r shkak t</w:t>
      </w:r>
      <w:r w:rsidR="004B52A5">
        <w:t>ë</w:t>
      </w:r>
      <w:r w:rsidR="00B47E3D" w:rsidRPr="00B47E3D">
        <w:t xml:space="preserve"> proceseve administrative t</w:t>
      </w:r>
      <w:r w:rsidR="004B52A5">
        <w:t>ë</w:t>
      </w:r>
      <w:r w:rsidR="00B47E3D" w:rsidRPr="00B47E3D">
        <w:t xml:space="preserve"> fillim vitit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ED3751" w:rsidRPr="00ED3751">
        <w:t xml:space="preserve"> në</w:t>
      </w:r>
      <w:r w:rsidR="00B47E3D" w:rsidRPr="00ED3751">
        <w:t xml:space="preserve"> realiz</w:t>
      </w:r>
      <w:r w:rsidR="00ED3751" w:rsidRPr="00ED3751">
        <w:t>im</w:t>
      </w:r>
      <w:r w:rsidR="00B47E3D" w:rsidRPr="00ED3751">
        <w:t xml:space="preserve"> shpenzimi </w:t>
      </w:r>
      <w:r w:rsidR="00ED3751" w:rsidRPr="00ED3751">
        <w:t>pas që në fund të muajit mars 2018 është pranuar donacioni</w:t>
      </w:r>
      <w:r w:rsidR="00B47E3D" w:rsidRPr="00ED3751">
        <w:t>.</w:t>
      </w:r>
    </w:p>
    <w:p w:rsidR="00FF663F" w:rsidRDefault="00ED3751" w:rsidP="00FF663F">
      <w:pPr>
        <w:spacing w:line="276" w:lineRule="auto"/>
        <w:ind w:left="720"/>
        <w:jc w:val="both"/>
      </w:pPr>
      <w:r>
        <w:t>,</w:t>
      </w:r>
    </w:p>
    <w:p w:rsidR="00FF663F" w:rsidRDefault="00FF663F" w:rsidP="00ED3751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A911EA">
        <w:rPr>
          <w:b/>
        </w:rPr>
        <w:t>n janar-mars TM1 2018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ED3751">
        <w:t xml:space="preserve"> janar-mars 2018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ED3751" w:rsidRPr="00ED3751">
        <w:t>2</w:t>
      </w:r>
      <w:r w:rsidR="00ED3751">
        <w:t>,</w:t>
      </w:r>
      <w:r w:rsidR="00ED3751" w:rsidRPr="00ED3751">
        <w:t>298</w:t>
      </w:r>
      <w:r w:rsidR="00ED3751">
        <w:t>,</w:t>
      </w:r>
      <w:r w:rsidR="00ED3751" w:rsidRPr="00ED3751">
        <w:t>947.18</w:t>
      </w:r>
      <w:r>
        <w:t>€ dhe jan</w:t>
      </w:r>
      <w:r w:rsidR="003E656E">
        <w:t>ë</w:t>
      </w:r>
      <w:r>
        <w:t xml:space="preserve"> shpenzuar 1,</w:t>
      </w:r>
      <w:r w:rsidR="00ED3751">
        <w:t>289,974.29</w:t>
      </w:r>
      <w:r>
        <w:t>€</w:t>
      </w:r>
      <w:r w:rsidR="003106DD">
        <w:t xml:space="preserve"> </w:t>
      </w:r>
      <w:r>
        <w:t xml:space="preserve"> apo shprehur n</w:t>
      </w:r>
      <w:r w:rsidR="003E656E">
        <w:t>ë</w:t>
      </w:r>
      <w:r>
        <w:t xml:space="preserve"> % me 5</w:t>
      </w:r>
      <w:r w:rsidR="00ED3751">
        <w:t>6</w:t>
      </w:r>
      <w:r>
        <w:t xml:space="preserve">%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:rsidR="003106DD" w:rsidRDefault="003106DD" w:rsidP="003106DD">
      <w:pPr>
        <w:spacing w:line="276" w:lineRule="auto"/>
        <w:jc w:val="both"/>
      </w:pPr>
    </w:p>
    <w:p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A911EA">
        <w:t>n janar-mars 2018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:rsidR="00FF663F" w:rsidRPr="00B47E3D" w:rsidRDefault="00FF663F" w:rsidP="00FF663F">
      <w:pPr>
        <w:spacing w:line="276" w:lineRule="auto"/>
        <w:ind w:left="720"/>
        <w:jc w:val="both"/>
      </w:pPr>
    </w:p>
    <w:p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  <w:bookmarkStart w:id="0" w:name="_GoBack"/>
      <w:bookmarkEnd w:id="0"/>
    </w:p>
    <w:p w:rsidR="006514E6" w:rsidRDefault="006514E6" w:rsidP="003106DD">
      <w:pPr>
        <w:rPr>
          <w:i/>
          <w:sz w:val="22"/>
          <w:szCs w:val="22"/>
        </w:rPr>
      </w:pPr>
    </w:p>
    <w:p w:rsidR="006514E6" w:rsidRDefault="006514E6" w:rsidP="003106DD">
      <w:pPr>
        <w:rPr>
          <w:i/>
          <w:sz w:val="22"/>
          <w:szCs w:val="22"/>
        </w:rPr>
      </w:pPr>
    </w:p>
    <w:p w:rsidR="003106DD" w:rsidRPr="004C5FB4" w:rsidRDefault="003106DD" w:rsidP="003106DD">
      <w:pPr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4  Realizimi i Buxhetit për periudhen janar-mars 201</w:t>
      </w:r>
      <w:r w:rsidR="00A911EA">
        <w:rPr>
          <w:i/>
          <w:sz w:val="22"/>
          <w:szCs w:val="22"/>
        </w:rPr>
        <w:t xml:space="preserve">8 </w:t>
      </w:r>
      <w:r w:rsidRPr="004C5FB4">
        <w:rPr>
          <w:i/>
          <w:sz w:val="22"/>
          <w:szCs w:val="22"/>
        </w:rPr>
        <w:t>ne t</w:t>
      </w:r>
      <w:r w:rsidR="00384E8E">
        <w:rPr>
          <w:i/>
          <w:sz w:val="22"/>
          <w:szCs w:val="22"/>
        </w:rPr>
        <w:t>abe</w:t>
      </w:r>
      <w:r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Shtime</w:t>
      </w:r>
    </w:p>
    <w:p w:rsidR="003106DD" w:rsidRPr="00BA31D3" w:rsidRDefault="003106DD" w:rsidP="003106DD">
      <w:pPr>
        <w:rPr>
          <w:i/>
          <w:sz w:val="18"/>
          <w:szCs w:val="18"/>
        </w:rPr>
      </w:pPr>
    </w:p>
    <w:p w:rsidR="00B47E3D" w:rsidRPr="00B47E3D" w:rsidRDefault="00B47E3D" w:rsidP="00B47E3D">
      <w:pPr>
        <w:spacing w:line="276" w:lineRule="auto"/>
        <w:ind w:left="720"/>
        <w:jc w:val="both"/>
      </w:pPr>
    </w:p>
    <w:p w:rsidR="00777232" w:rsidRDefault="00777232" w:rsidP="00FB485C">
      <w:pPr>
        <w:spacing w:line="276" w:lineRule="auto"/>
        <w:ind w:left="720"/>
        <w:jc w:val="both"/>
      </w:pPr>
    </w:p>
    <w:p w:rsidR="00777232" w:rsidRDefault="00777232" w:rsidP="00FB485C">
      <w:pPr>
        <w:spacing w:line="276" w:lineRule="auto"/>
        <w:ind w:left="720"/>
        <w:jc w:val="both"/>
      </w:pPr>
    </w:p>
    <w:tbl>
      <w:tblPr>
        <w:tblStyle w:val="ColorfulGrid-Accent6"/>
        <w:tblW w:w="15480" w:type="dxa"/>
        <w:tblLook w:val="04A0"/>
      </w:tblPr>
      <w:tblGrid>
        <w:gridCol w:w="3690"/>
        <w:gridCol w:w="1620"/>
        <w:gridCol w:w="1530"/>
        <w:gridCol w:w="1267"/>
        <w:gridCol w:w="1343"/>
        <w:gridCol w:w="1170"/>
        <w:gridCol w:w="1440"/>
        <w:gridCol w:w="1530"/>
        <w:gridCol w:w="1890"/>
      </w:tblGrid>
      <w:tr w:rsidR="005B4EC9" w:rsidRPr="005B4EC9" w:rsidTr="005B4EC9">
        <w:trPr>
          <w:cnfStyle w:val="100000000000"/>
          <w:trHeight w:val="2292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Përshkrimi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Aktual 2017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Alokimet TM1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 paalokuar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Aktuale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Zotim /Obligimet në pritje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FreeBalance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Realizimi i shpenzimeve shprehur  ne %  nga Parashikimi vjetor 2017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Realizimi i shpenzimeve shprehur  ne %  ne raport me Alokimin e periudhes TM1 2017 </w:t>
            </w:r>
          </w:p>
        </w:tc>
      </w:tr>
      <w:tr w:rsidR="005B4EC9" w:rsidRPr="005B4EC9" w:rsidTr="005B4EC9">
        <w:trPr>
          <w:cnfStyle w:val="000000100000"/>
          <w:trHeight w:val="720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RESP / CAT / SUBCL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B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( C + D )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E=(C/A)*100 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F=(C/B)*100 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617 SHTIME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6,876,461.04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2,298,947.18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4,577,513.86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1,289,974.29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222,002.51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5,364,484.24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0.19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0.56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10 BUXHETI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6,380,766.98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2,188,997.19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4,191,769.79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1,271,325.72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212,762.51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4,896,678.75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0.58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4,111,595.98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1,006,913.48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3,104,682.50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1,006,913.48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3,104,682.50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0.24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575,945.00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343,055.00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232,890.00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62,467.98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106,428.06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407,048.96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0.11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0.18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 SHPENZIME KOMUNALE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169,650.00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52,669.71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116,980.29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28,007.34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532.57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141,110.09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0.17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0.53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49,500.00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25,500.00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1,475.00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48,025.00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0.03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0.06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1,474,076.00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760,859.00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713,217.00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172,461.92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105,801.88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1,195,812.20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0.12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0.23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21 TE HYRAT VETANAKE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435,192.00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49,447.93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385,744.07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18,648.57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9,240.00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407,303.43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0.04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0.38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6,255.00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15,745.00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115,484.00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32,392.93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83,091.07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17,748.57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94,735.43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0.15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0.55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63,537.00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60,537.00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62,637.00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234,171.00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7,800.00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226,371.00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6,240.00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227,931.00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44 QEVERIA BRITANEZE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49 EU-UNIONI EUROPIAN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59 QEVERIA JAPONEZE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61 QEVERIA ZVICRANE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93 COUNCIL OF EUROPE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Totali I Përgjithshëm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6,876,461.04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2,298,947.18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4,577,513.86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1,289,974.29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222,002.51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5,364,484.24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0.19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0.56</w:t>
            </w:r>
          </w:p>
        </w:tc>
      </w:tr>
    </w:tbl>
    <w:p w:rsidR="00777232" w:rsidRDefault="00777232" w:rsidP="00FB485C">
      <w:pPr>
        <w:spacing w:line="276" w:lineRule="auto"/>
        <w:ind w:left="720"/>
        <w:jc w:val="both"/>
      </w:pPr>
    </w:p>
    <w:p w:rsidR="0087162B" w:rsidRDefault="0087162B"/>
    <w:p w:rsidR="00C624AB" w:rsidRDefault="00C624AB"/>
    <w:p w:rsidR="00C624AB" w:rsidRDefault="00C624AB"/>
    <w:p w:rsidR="00C624AB" w:rsidRDefault="00FF663F" w:rsidP="00FF663F">
      <w:pPr>
        <w:tabs>
          <w:tab w:val="left" w:pos="5583"/>
        </w:tabs>
      </w:pPr>
      <w:r>
        <w:tab/>
      </w:r>
    </w:p>
    <w:p w:rsidR="00FF663F" w:rsidRDefault="00FF663F" w:rsidP="00FF663F">
      <w:pPr>
        <w:tabs>
          <w:tab w:val="left" w:pos="5583"/>
        </w:tabs>
      </w:pPr>
    </w:p>
    <w:p w:rsidR="00C624AB" w:rsidRDefault="00C624AB"/>
    <w:p w:rsidR="00C624AB" w:rsidRDefault="00C624AB"/>
    <w:p w:rsidR="00C624AB" w:rsidRDefault="00C624AB"/>
    <w:p w:rsidR="00C624AB" w:rsidRDefault="00C624AB"/>
    <w:p w:rsidR="00C624AB" w:rsidRDefault="00C624AB"/>
    <w:p w:rsidR="00C624AB" w:rsidRDefault="00C624AB"/>
    <w:p w:rsidR="004C5FB4" w:rsidRDefault="004C5FB4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:rsidR="00B67971" w:rsidRDefault="00B67971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C624AB" w:rsidRPr="004C5FB4" w:rsidRDefault="004C5FB4">
      <w:pPr>
        <w:rPr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janar-mars 201</w:t>
      </w:r>
      <w:r w:rsidR="00A911EA">
        <w:rPr>
          <w:i/>
          <w:sz w:val="22"/>
          <w:szCs w:val="22"/>
        </w:rPr>
        <w:t>8</w:t>
      </w:r>
      <w:r w:rsidRPr="004C5FB4">
        <w:rPr>
          <w:i/>
          <w:sz w:val="22"/>
          <w:szCs w:val="22"/>
        </w:rPr>
        <w:t xml:space="preserve"> ne total sipas kategorive ekonomike, programeve buxhetore si dhe  burimeve te financimit per OB Komuan Shtime</w:t>
      </w:r>
    </w:p>
    <w:p w:rsidR="00C624AB" w:rsidRPr="004C5FB4" w:rsidRDefault="00C624AB">
      <w:pPr>
        <w:rPr>
          <w:sz w:val="22"/>
          <w:szCs w:val="22"/>
        </w:rPr>
      </w:pPr>
    </w:p>
    <w:tbl>
      <w:tblPr>
        <w:tblW w:w="9649" w:type="dxa"/>
        <w:tblInd w:w="89" w:type="dxa"/>
        <w:tblLook w:val="04A0"/>
      </w:tblPr>
      <w:tblGrid>
        <w:gridCol w:w="396"/>
        <w:gridCol w:w="2760"/>
        <w:gridCol w:w="1600"/>
        <w:gridCol w:w="1600"/>
        <w:gridCol w:w="1380"/>
        <w:gridCol w:w="1913"/>
      </w:tblGrid>
      <w:tr w:rsidR="00B67971" w:rsidRPr="00B67971" w:rsidTr="006514E6">
        <w:trPr>
          <w:trHeight w:val="51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bookmarkStart w:id="1" w:name="RANGE!A1:F121"/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  <w:bookmarkEnd w:id="1"/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(10,21,22,donatorët)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Paga dhe Mëditje</w:t>
            </w: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98,889.00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21,658.21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21,658.21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21.90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16,271.65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16,271.65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22.60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150,410.00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34,839.78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34,839.78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23.16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41,558.00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10,373.35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10,373.35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24.96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72,518.00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17,949.75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17,949.75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24.75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69,131.00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17,108.82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17,108.82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24.75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20,076.00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5,238.53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5,238.53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26.09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32,398.00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8,046.27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8,046.27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24.84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61,270.00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14,050.36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14,050.36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22.93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21,828.00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5,259.09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5,259.09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24.09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703,511.00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177,623.57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171,368.57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24.36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33,473.00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8,295.71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8,295.71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24.78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2,756,534.00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676,453.39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676,453.39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24.54</w:t>
            </w:r>
          </w:p>
        </w:tc>
      </w:tr>
      <w:tr w:rsidR="00B67971" w:rsidRPr="00B67971" w:rsidTr="006514E6">
        <w:trPr>
          <w:trHeight w:val="499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4,133,596.00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1,013,168.48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1,006,913.48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24.36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67971" w:rsidRPr="00B67971" w:rsidTr="006514E6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Mallra dhe Shërbime</w:t>
            </w: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6,459.98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29.36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6,406.00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534.35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8.34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94,633.00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17,297.38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18.28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54,246.00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39,080.93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14,003.09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25.81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7,162.00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213.47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2.98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8,282.00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3,797.00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1,636.85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19.76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442.00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397.00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6,584.00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1,083.00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300.00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16.16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2,747.00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2,347.00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8.19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274,443.00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169,071.00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23,175.59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8.44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17,057.00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15,937.00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1757.35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10.30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201,464.00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86,097.00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14,733.49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7.31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696,549.00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376,026.93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80,216.55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11.52 </w:t>
            </w:r>
          </w:p>
        </w:tc>
      </w:tr>
      <w:tr w:rsidR="00B67971" w:rsidRPr="00B67971" w:rsidTr="006514E6">
        <w:trPr>
          <w:trHeight w:val="37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60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Komunale</w:t>
            </w:r>
          </w:p>
        </w:tc>
      </w:tr>
      <w:tr w:rsidR="00B67971" w:rsidRPr="00B67971" w:rsidTr="006514E6">
        <w:trPr>
          <w:trHeight w:val="9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periudha Janar-Mars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20,722.00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5,649.00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107.91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0.52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55,171.00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9,865.67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17.88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2,961.00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1,142.00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13.00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0.44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26,900.00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7,733.00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5,029.91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18.70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650.00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429.01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21.45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61,896.00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22,495.71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12,561.84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20.30 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169,650.00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52,669.71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28,007.34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16.51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Pr="00B67971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1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 donatorët)</w:t>
            </w:r>
          </w:p>
        </w:tc>
      </w:tr>
      <w:tr w:rsidR="00B67971" w:rsidRPr="00B67971" w:rsidTr="006514E6">
        <w:trPr>
          <w:trHeight w:val="3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Subvencione dhe Transfere</w:t>
            </w:r>
          </w:p>
        </w:tc>
      </w:tr>
      <w:tr w:rsidR="00B67971" w:rsidRPr="00B67971" w:rsidTr="006514E6">
        <w:trPr>
          <w:trHeight w:val="12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6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900.00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20.00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27,000.00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42,037.00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500.00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27,000.00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975.00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3.61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12,500.00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113,037.00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28,500.00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2,375.00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2.10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Kapitale</w:t>
            </w: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48,000.00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35,500.00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423,600.00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163,600.00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102,657.60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24.23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1,010,010.00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512,561.07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49,804.32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4.93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107,157.00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96,900.00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</w:t>
            </w: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 xml:space="preserve">30,000.00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52,893.00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20,020.99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20,000.00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0.38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1,711,660.00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828,582.06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172,461.92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10.08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1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  <w:t>REKAPITULIM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120,889.00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30,658.21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28,118.19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23.26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78,406.00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19,271.65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16,806.00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21.43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313,765.00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118,988.78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52,245.07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16.65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574,575.00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228,054.28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136,899.71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23.83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79,680.00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20,949.75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18,163.22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22.80 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80,374.00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22,047.82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18,758.67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23.34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25,018.00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7,635.53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6,143.53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24.56 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65,982.00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10,046.27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8,046.27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12.19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62,911.00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5,559.09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5,434.09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8.64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1,074,027.00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528,958.43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64,079.68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5.97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1,154,048.00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461,327.57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200,074.07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17.34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109,530.00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36,882.71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11,457.07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10.46 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3,085,287.00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808,567.09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723,748.72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23.46 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6,824,492.00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2,298,947.18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1,289,974.29 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18.90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DB479A" w:rsidRDefault="00DB479A" w:rsidP="00DB479A">
      <w:pPr>
        <w:pStyle w:val="ListParagraph"/>
        <w:spacing w:line="276" w:lineRule="auto"/>
        <w:jc w:val="both"/>
        <w:rPr>
          <w:b/>
        </w:rPr>
      </w:pPr>
    </w:p>
    <w:sectPr w:rsidR="00DB479A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96" w:rsidRDefault="00386696">
      <w:r>
        <w:separator/>
      </w:r>
    </w:p>
    <w:p w:rsidR="00386696" w:rsidRDefault="00386696"/>
  </w:endnote>
  <w:endnote w:type="continuationSeparator" w:id="1">
    <w:p w:rsidR="00386696" w:rsidRDefault="00386696">
      <w:r>
        <w:continuationSeparator/>
      </w:r>
    </w:p>
    <w:p w:rsidR="00386696" w:rsidRDefault="003866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5D" w:rsidRDefault="006746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11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15D" w:rsidRDefault="001E115D">
    <w:pPr>
      <w:pStyle w:val="Footer"/>
      <w:ind w:right="360"/>
    </w:pPr>
  </w:p>
  <w:p w:rsidR="001E115D" w:rsidRDefault="001E115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5D" w:rsidRPr="00131198" w:rsidRDefault="001E115D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</w:t>
    </w:r>
    <w:r w:rsidRPr="00BA31D3">
      <w:rPr>
        <w:rFonts w:ascii="Cambria" w:hAnsi="Cambria" w:cs="Cambria"/>
        <w:sz w:val="16"/>
        <w:szCs w:val="16"/>
      </w:rPr>
      <w:t xml:space="preserve"> Buxhetor janar-mars 201</w:t>
    </w:r>
    <w:r>
      <w:rPr>
        <w:rFonts w:ascii="Cambria" w:hAnsi="Cambria" w:cs="Cambria"/>
        <w:sz w:val="16"/>
        <w:szCs w:val="16"/>
      </w:rPr>
      <w:t>8-komuna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6746FF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6746FF" w:rsidRPr="00131198">
      <w:rPr>
        <w:sz w:val="18"/>
        <w:szCs w:val="18"/>
      </w:rPr>
      <w:fldChar w:fldCharType="separate"/>
    </w:r>
    <w:r w:rsidR="00F86BFA" w:rsidRPr="00F86BFA">
      <w:rPr>
        <w:rFonts w:ascii="Cambria" w:hAnsi="Cambria" w:cs="Cambria"/>
        <w:noProof/>
        <w:sz w:val="18"/>
        <w:szCs w:val="18"/>
      </w:rPr>
      <w:t>1</w:t>
    </w:r>
    <w:r w:rsidR="006746FF" w:rsidRPr="00131198">
      <w:rPr>
        <w:sz w:val="18"/>
        <w:szCs w:val="18"/>
      </w:rPr>
      <w:fldChar w:fldCharType="end"/>
    </w:r>
    <w:r w:rsidR="006746FF" w:rsidRPr="006746FF">
      <w:rPr>
        <w:noProof/>
        <w:sz w:val="18"/>
        <w:szCs w:val="18"/>
        <w:lang w:eastAsia="zh-TW"/>
      </w:rPr>
      <w:pict>
        <v:group id="_x0000_s2051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6746FF" w:rsidRPr="006746FF">
      <w:rPr>
        <w:noProof/>
        <w:sz w:val="18"/>
        <w:szCs w:val="18"/>
        <w:lang w:eastAsia="zh-TW"/>
      </w:rPr>
      <w:pict>
        <v:rect id="_x0000_s2050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6746FF" w:rsidRPr="006746FF">
      <w:rPr>
        <w:noProof/>
        <w:sz w:val="18"/>
        <w:szCs w:val="18"/>
        <w:lang w:eastAsia="zh-TW"/>
      </w:rPr>
      <w:pict>
        <v:rect id="_x0000_s2049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96" w:rsidRDefault="00386696">
      <w:r>
        <w:separator/>
      </w:r>
    </w:p>
    <w:p w:rsidR="00386696" w:rsidRDefault="00386696"/>
  </w:footnote>
  <w:footnote w:type="continuationSeparator" w:id="1">
    <w:p w:rsidR="00386696" w:rsidRDefault="00386696">
      <w:r>
        <w:continuationSeparator/>
      </w:r>
    </w:p>
    <w:p w:rsidR="00386696" w:rsidRDefault="003866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A2CAA"/>
    <w:rsid w:val="00002A3F"/>
    <w:rsid w:val="00005057"/>
    <w:rsid w:val="00030B65"/>
    <w:rsid w:val="0003303A"/>
    <w:rsid w:val="00034E06"/>
    <w:rsid w:val="00052212"/>
    <w:rsid w:val="00064735"/>
    <w:rsid w:val="0007120C"/>
    <w:rsid w:val="000855D3"/>
    <w:rsid w:val="0009620A"/>
    <w:rsid w:val="000B7F8C"/>
    <w:rsid w:val="000D787D"/>
    <w:rsid w:val="000F3E97"/>
    <w:rsid w:val="000F7287"/>
    <w:rsid w:val="00101631"/>
    <w:rsid w:val="0010572F"/>
    <w:rsid w:val="0011232D"/>
    <w:rsid w:val="00117B54"/>
    <w:rsid w:val="00130C96"/>
    <w:rsid w:val="00131198"/>
    <w:rsid w:val="00142129"/>
    <w:rsid w:val="0014331B"/>
    <w:rsid w:val="00145FA8"/>
    <w:rsid w:val="00174366"/>
    <w:rsid w:val="001819D4"/>
    <w:rsid w:val="001A2CAA"/>
    <w:rsid w:val="001C0975"/>
    <w:rsid w:val="001C49D0"/>
    <w:rsid w:val="001D0339"/>
    <w:rsid w:val="001D3C1F"/>
    <w:rsid w:val="001D6508"/>
    <w:rsid w:val="001E115D"/>
    <w:rsid w:val="002060DF"/>
    <w:rsid w:val="002143A7"/>
    <w:rsid w:val="00217296"/>
    <w:rsid w:val="00231481"/>
    <w:rsid w:val="0023194E"/>
    <w:rsid w:val="00242783"/>
    <w:rsid w:val="002458D2"/>
    <w:rsid w:val="00262C19"/>
    <w:rsid w:val="00283172"/>
    <w:rsid w:val="002963B4"/>
    <w:rsid w:val="002A47C0"/>
    <w:rsid w:val="002A6A7D"/>
    <w:rsid w:val="002A7899"/>
    <w:rsid w:val="002B34B2"/>
    <w:rsid w:val="002B697B"/>
    <w:rsid w:val="002B733D"/>
    <w:rsid w:val="003106DD"/>
    <w:rsid w:val="0031122B"/>
    <w:rsid w:val="00322B3B"/>
    <w:rsid w:val="00363A08"/>
    <w:rsid w:val="00364C15"/>
    <w:rsid w:val="00373410"/>
    <w:rsid w:val="00384E8E"/>
    <w:rsid w:val="00386696"/>
    <w:rsid w:val="003A4B2B"/>
    <w:rsid w:val="003B54E5"/>
    <w:rsid w:val="003B6AAF"/>
    <w:rsid w:val="003C0133"/>
    <w:rsid w:val="003E3E00"/>
    <w:rsid w:val="003E656E"/>
    <w:rsid w:val="004169CA"/>
    <w:rsid w:val="00431259"/>
    <w:rsid w:val="004329CC"/>
    <w:rsid w:val="004674B8"/>
    <w:rsid w:val="00473818"/>
    <w:rsid w:val="00476A64"/>
    <w:rsid w:val="0047739A"/>
    <w:rsid w:val="00487BC8"/>
    <w:rsid w:val="004B338C"/>
    <w:rsid w:val="004B52A5"/>
    <w:rsid w:val="004B67D1"/>
    <w:rsid w:val="004C5FB4"/>
    <w:rsid w:val="004D0248"/>
    <w:rsid w:val="004F43E3"/>
    <w:rsid w:val="004F6934"/>
    <w:rsid w:val="004F7ADD"/>
    <w:rsid w:val="00502CFC"/>
    <w:rsid w:val="005070EF"/>
    <w:rsid w:val="00507C93"/>
    <w:rsid w:val="0053215A"/>
    <w:rsid w:val="00545EBA"/>
    <w:rsid w:val="00565E7B"/>
    <w:rsid w:val="00567EE3"/>
    <w:rsid w:val="005732B4"/>
    <w:rsid w:val="005913F9"/>
    <w:rsid w:val="00596E2E"/>
    <w:rsid w:val="005A43DF"/>
    <w:rsid w:val="005B21E5"/>
    <w:rsid w:val="005B4EC9"/>
    <w:rsid w:val="005C510E"/>
    <w:rsid w:val="006046AB"/>
    <w:rsid w:val="0061750E"/>
    <w:rsid w:val="006219C5"/>
    <w:rsid w:val="00623548"/>
    <w:rsid w:val="0062624A"/>
    <w:rsid w:val="006305EA"/>
    <w:rsid w:val="0063568C"/>
    <w:rsid w:val="00644FBB"/>
    <w:rsid w:val="00647A67"/>
    <w:rsid w:val="006514E6"/>
    <w:rsid w:val="006746FF"/>
    <w:rsid w:val="006752BF"/>
    <w:rsid w:val="0068454F"/>
    <w:rsid w:val="006A1D39"/>
    <w:rsid w:val="006C6B40"/>
    <w:rsid w:val="006C6DCE"/>
    <w:rsid w:val="006E2BA2"/>
    <w:rsid w:val="006E76E7"/>
    <w:rsid w:val="00707CFB"/>
    <w:rsid w:val="0077010C"/>
    <w:rsid w:val="00777232"/>
    <w:rsid w:val="007826B3"/>
    <w:rsid w:val="007841F6"/>
    <w:rsid w:val="0079595C"/>
    <w:rsid w:val="0079765B"/>
    <w:rsid w:val="007A01AE"/>
    <w:rsid w:val="007A3CF8"/>
    <w:rsid w:val="007D7C29"/>
    <w:rsid w:val="00807826"/>
    <w:rsid w:val="00813DAC"/>
    <w:rsid w:val="008251E6"/>
    <w:rsid w:val="0087162B"/>
    <w:rsid w:val="00892F58"/>
    <w:rsid w:val="00897049"/>
    <w:rsid w:val="008A0E39"/>
    <w:rsid w:val="008B034E"/>
    <w:rsid w:val="008C0ECC"/>
    <w:rsid w:val="008C56CB"/>
    <w:rsid w:val="008C67E5"/>
    <w:rsid w:val="008C6CE6"/>
    <w:rsid w:val="008E1397"/>
    <w:rsid w:val="008E78E7"/>
    <w:rsid w:val="008F21F8"/>
    <w:rsid w:val="00941240"/>
    <w:rsid w:val="00946E59"/>
    <w:rsid w:val="00947CD8"/>
    <w:rsid w:val="009511EE"/>
    <w:rsid w:val="00955132"/>
    <w:rsid w:val="00957C05"/>
    <w:rsid w:val="0098243C"/>
    <w:rsid w:val="009C2D49"/>
    <w:rsid w:val="009C40DB"/>
    <w:rsid w:val="009C4363"/>
    <w:rsid w:val="009D5149"/>
    <w:rsid w:val="009D61FF"/>
    <w:rsid w:val="009F298B"/>
    <w:rsid w:val="00A01858"/>
    <w:rsid w:val="00A031D1"/>
    <w:rsid w:val="00A045B2"/>
    <w:rsid w:val="00A1666E"/>
    <w:rsid w:val="00A34F78"/>
    <w:rsid w:val="00A46738"/>
    <w:rsid w:val="00A61A98"/>
    <w:rsid w:val="00A67C4A"/>
    <w:rsid w:val="00A911EA"/>
    <w:rsid w:val="00A94703"/>
    <w:rsid w:val="00A95C24"/>
    <w:rsid w:val="00AA11CC"/>
    <w:rsid w:val="00AB2E8A"/>
    <w:rsid w:val="00AE508E"/>
    <w:rsid w:val="00B1106C"/>
    <w:rsid w:val="00B12C5B"/>
    <w:rsid w:val="00B2749E"/>
    <w:rsid w:val="00B464BB"/>
    <w:rsid w:val="00B4683F"/>
    <w:rsid w:val="00B46E3C"/>
    <w:rsid w:val="00B47E3D"/>
    <w:rsid w:val="00B61B9A"/>
    <w:rsid w:val="00B67971"/>
    <w:rsid w:val="00B73872"/>
    <w:rsid w:val="00B80B01"/>
    <w:rsid w:val="00B82474"/>
    <w:rsid w:val="00B84AD8"/>
    <w:rsid w:val="00B96C16"/>
    <w:rsid w:val="00BA31D3"/>
    <w:rsid w:val="00BC1063"/>
    <w:rsid w:val="00BC1865"/>
    <w:rsid w:val="00BF5CDF"/>
    <w:rsid w:val="00BF65E4"/>
    <w:rsid w:val="00BF6DD2"/>
    <w:rsid w:val="00C0697F"/>
    <w:rsid w:val="00C41971"/>
    <w:rsid w:val="00C456F4"/>
    <w:rsid w:val="00C514FE"/>
    <w:rsid w:val="00C5508B"/>
    <w:rsid w:val="00C624AB"/>
    <w:rsid w:val="00C6536E"/>
    <w:rsid w:val="00C70CF5"/>
    <w:rsid w:val="00C8208F"/>
    <w:rsid w:val="00C85391"/>
    <w:rsid w:val="00CA1A24"/>
    <w:rsid w:val="00CA274A"/>
    <w:rsid w:val="00CC6FE9"/>
    <w:rsid w:val="00CF4D43"/>
    <w:rsid w:val="00D2645C"/>
    <w:rsid w:val="00D34FBB"/>
    <w:rsid w:val="00D65693"/>
    <w:rsid w:val="00D73046"/>
    <w:rsid w:val="00D73381"/>
    <w:rsid w:val="00D81971"/>
    <w:rsid w:val="00D90031"/>
    <w:rsid w:val="00D92501"/>
    <w:rsid w:val="00DA5025"/>
    <w:rsid w:val="00DB28EC"/>
    <w:rsid w:val="00DB479A"/>
    <w:rsid w:val="00DD1D26"/>
    <w:rsid w:val="00DE3D76"/>
    <w:rsid w:val="00DE5DE8"/>
    <w:rsid w:val="00DF0379"/>
    <w:rsid w:val="00E208B3"/>
    <w:rsid w:val="00E23F50"/>
    <w:rsid w:val="00E328F7"/>
    <w:rsid w:val="00E32AC6"/>
    <w:rsid w:val="00E42F98"/>
    <w:rsid w:val="00E57B4B"/>
    <w:rsid w:val="00E770AB"/>
    <w:rsid w:val="00E85F24"/>
    <w:rsid w:val="00E92AEE"/>
    <w:rsid w:val="00EB4BDF"/>
    <w:rsid w:val="00ED3751"/>
    <w:rsid w:val="00ED442B"/>
    <w:rsid w:val="00EE3278"/>
    <w:rsid w:val="00EF20A5"/>
    <w:rsid w:val="00F05C9F"/>
    <w:rsid w:val="00F12CD1"/>
    <w:rsid w:val="00F165FE"/>
    <w:rsid w:val="00F309E8"/>
    <w:rsid w:val="00F37EDB"/>
    <w:rsid w:val="00F54231"/>
    <w:rsid w:val="00F56DFE"/>
    <w:rsid w:val="00F62259"/>
    <w:rsid w:val="00F86BFA"/>
    <w:rsid w:val="00F87DC2"/>
    <w:rsid w:val="00F91164"/>
    <w:rsid w:val="00FB418C"/>
    <w:rsid w:val="00FB485C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5B4E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97C6-AC67-4F47-8660-81A99A75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jetush.rrafshi</cp:lastModifiedBy>
  <cp:revision>2</cp:revision>
  <cp:lastPrinted>2018-04-16T06:59:00Z</cp:lastPrinted>
  <dcterms:created xsi:type="dcterms:W3CDTF">2018-04-24T06:54:00Z</dcterms:created>
  <dcterms:modified xsi:type="dcterms:W3CDTF">2018-04-24T06:54:00Z</dcterms:modified>
</cp:coreProperties>
</file>