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7" w:rsidRDefault="008E1397" w:rsidP="008E1397">
      <w:pPr>
        <w:jc w:val="center"/>
        <w:rPr>
          <w:b/>
          <w:sz w:val="28"/>
          <w:szCs w:val="28"/>
        </w:rPr>
      </w:pPr>
    </w:p>
    <w:p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8E1397" w:rsidRDefault="008E1397" w:rsidP="008E1397">
      <w:pPr>
        <w:jc w:val="center"/>
        <w:rPr>
          <w:color w:val="000000"/>
        </w:rPr>
      </w:pPr>
    </w:p>
    <w:p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02A3F" w:rsidRDefault="00002A3F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002A3F" w:rsidRDefault="00002A3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TREMUJOR BUXHETOR</w:t>
      </w:r>
    </w:p>
    <w:p w:rsidR="00002A3F" w:rsidRDefault="00002A3F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Mars 20</w:t>
      </w:r>
      <w:r w:rsidR="00C66AEF">
        <w:rPr>
          <w:b/>
          <w:bCs/>
          <w:sz w:val="44"/>
          <w:szCs w:val="44"/>
        </w:rPr>
        <w:t>20</w:t>
      </w: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6E2BA2">
      <w:pPr>
        <w:spacing w:line="276" w:lineRule="auto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:rsidR="00002A3F" w:rsidRDefault="00002A3F">
      <w:pPr>
        <w:spacing w:line="276" w:lineRule="auto"/>
        <w:jc w:val="both"/>
      </w:pPr>
    </w:p>
    <w:p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A67C4A">
        <w:t>Mars</w:t>
      </w:r>
      <w:r w:rsidR="0009620A">
        <w:t xml:space="preserve"> </w:t>
      </w:r>
      <w:r w:rsidR="00C66AEF">
        <w:t>2020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:rsidR="00002A3F" w:rsidRDefault="00002A3F">
      <w:pPr>
        <w:spacing w:line="276" w:lineRule="auto"/>
        <w:jc w:val="both"/>
      </w:pPr>
    </w:p>
    <w:p w:rsidR="00002A3F" w:rsidRDefault="00002A3F">
      <w:pPr>
        <w:spacing w:line="276" w:lineRule="auto"/>
        <w:jc w:val="both"/>
      </w:pPr>
    </w:p>
    <w:p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 janar-mars 20</w:t>
      </w:r>
      <w:r w:rsidR="00C66AEF">
        <w:rPr>
          <w:rFonts w:eastAsia="Times New Roman"/>
          <w:b/>
          <w:bCs/>
          <w:lang w:val="en-US"/>
        </w:rPr>
        <w:t>20</w:t>
      </w:r>
    </w:p>
    <w:p w:rsidR="00002A3F" w:rsidRDefault="00002A3F">
      <w:pPr>
        <w:spacing w:line="276" w:lineRule="auto"/>
        <w:jc w:val="both"/>
      </w:pPr>
    </w:p>
    <w:p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201</w:t>
      </w:r>
      <w:r w:rsidR="00FA0907">
        <w:t>9</w:t>
      </w:r>
      <w:r w:rsidR="00ED3D55">
        <w:t xml:space="preserve"> dhe vitit 20</w:t>
      </w:r>
      <w:r w:rsidR="00FA0907">
        <w:t>20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BF5CDF">
        <w:t>n Janar-Mars 20</w:t>
      </w:r>
      <w:r w:rsidR="00FA0907">
        <w:t>20</w:t>
      </w:r>
      <w:r w:rsidR="00BF5CDF">
        <w:t>:</w:t>
      </w:r>
    </w:p>
    <w:p w:rsidR="004C5FB4" w:rsidRDefault="004C5FB4">
      <w:pPr>
        <w:spacing w:line="276" w:lineRule="auto"/>
        <w:jc w:val="both"/>
      </w:pPr>
    </w:p>
    <w:p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tbl>
      <w:tblPr>
        <w:tblStyle w:val="GridTable4Accent6"/>
        <w:tblW w:w="10569" w:type="dxa"/>
        <w:tblLook w:val="04A0"/>
      </w:tblPr>
      <w:tblGrid>
        <w:gridCol w:w="3600"/>
        <w:gridCol w:w="1620"/>
        <w:gridCol w:w="1371"/>
        <w:gridCol w:w="1908"/>
        <w:gridCol w:w="2070"/>
      </w:tblGrid>
      <w:tr w:rsidR="00ED3D55" w:rsidRPr="00ED3D55" w:rsidTr="00FA0907">
        <w:trPr>
          <w:cnfStyle w:val="100000000000"/>
          <w:trHeight w:val="564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Përshkrimi i Burimeve të Financimit</w:t>
            </w:r>
          </w:p>
        </w:tc>
        <w:tc>
          <w:tcPr>
            <w:tcW w:w="1620" w:type="dxa"/>
            <w:hideMark/>
          </w:tcPr>
          <w:p w:rsidR="00ED3D55" w:rsidRPr="00ED3D55" w:rsidRDefault="00B234EA" w:rsidP="00FA0907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Buxheti Final</w:t>
            </w:r>
            <w:r w:rsidR="00ED3D55" w:rsidRPr="00ED3D5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201</w:t>
            </w:r>
            <w:r w:rsidR="00FA0907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71" w:type="dxa"/>
            <w:hideMark/>
          </w:tcPr>
          <w:p w:rsidR="00ED3D55" w:rsidRPr="00ED3D55" w:rsidRDefault="00ED3D55" w:rsidP="00FA0907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Buxheti i miratuar 20</w:t>
            </w:r>
            <w:r w:rsidR="00FA0907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08" w:type="dxa"/>
            <w:hideMark/>
          </w:tcPr>
          <w:p w:rsidR="00ED3D55" w:rsidRPr="00ED3D55" w:rsidRDefault="00ED3D55" w:rsidP="00FA0907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Shprehja në % e burimit të financimit të Buxhetit Komunal për vitin 201</w:t>
            </w:r>
            <w:r w:rsidR="00FA0907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70" w:type="dxa"/>
            <w:hideMark/>
          </w:tcPr>
          <w:p w:rsidR="00ED3D55" w:rsidRPr="00ED3D55" w:rsidRDefault="00ED3D55" w:rsidP="00ED3D55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Shprehja në % e burimit të financimit në Buxhetin Komunal për vitin 20</w:t>
            </w:r>
            <w:r w:rsidR="00FA0907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F042B2" w:rsidRPr="00ED3D55" w:rsidTr="004D6A22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Grantet Qeveritare</w:t>
            </w:r>
          </w:p>
        </w:tc>
        <w:tc>
          <w:tcPr>
            <w:tcW w:w="1620" w:type="dxa"/>
            <w:noWrap/>
            <w:hideMark/>
          </w:tcPr>
          <w:p w:rsidR="00F042B2" w:rsidRDefault="00F042B2">
            <w:pPr>
              <w:jc w:val="right"/>
              <w:cnfStyle w:val="0000001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6,682,837 </w:t>
            </w:r>
          </w:p>
        </w:tc>
        <w:tc>
          <w:tcPr>
            <w:tcW w:w="1371" w:type="dxa"/>
            <w:noWrap/>
            <w:vAlign w:val="bottom"/>
            <w:hideMark/>
          </w:tcPr>
          <w:p w:rsidR="00F042B2" w:rsidRPr="004D6A22" w:rsidRDefault="00F042B2" w:rsidP="004D6A22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7,308,061</w:t>
            </w:r>
          </w:p>
        </w:tc>
        <w:tc>
          <w:tcPr>
            <w:tcW w:w="1908" w:type="dxa"/>
            <w:noWrap/>
            <w:vAlign w:val="bottom"/>
            <w:hideMark/>
          </w:tcPr>
          <w:p w:rsidR="00F042B2" w:rsidRPr="004D6A22" w:rsidRDefault="00F042B2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67.74</w:t>
            </w:r>
          </w:p>
        </w:tc>
        <w:tc>
          <w:tcPr>
            <w:tcW w:w="2070" w:type="dxa"/>
            <w:noWrap/>
            <w:vAlign w:val="bottom"/>
            <w:hideMark/>
          </w:tcPr>
          <w:p w:rsidR="00F042B2" w:rsidRPr="004D6A22" w:rsidRDefault="00F042B2" w:rsidP="004D6A22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92.02</w:t>
            </w:r>
          </w:p>
        </w:tc>
      </w:tr>
      <w:tr w:rsidR="00F042B2" w:rsidRPr="00ED3D55" w:rsidTr="004D6A22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Të hyrat Vetanake</w:t>
            </w:r>
          </w:p>
        </w:tc>
        <w:tc>
          <w:tcPr>
            <w:tcW w:w="1620" w:type="dxa"/>
            <w:noWrap/>
            <w:hideMark/>
          </w:tcPr>
          <w:p w:rsidR="00F042B2" w:rsidRDefault="00F042B2">
            <w:pPr>
              <w:jc w:val="right"/>
              <w:cnfStyle w:val="0000000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503,882 </w:t>
            </w:r>
          </w:p>
        </w:tc>
        <w:tc>
          <w:tcPr>
            <w:tcW w:w="1371" w:type="dxa"/>
            <w:noWrap/>
            <w:vAlign w:val="bottom"/>
            <w:hideMark/>
          </w:tcPr>
          <w:p w:rsidR="00F042B2" w:rsidRPr="004D6A22" w:rsidRDefault="00F042B2" w:rsidP="004D6A22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629,651</w:t>
            </w:r>
          </w:p>
        </w:tc>
        <w:tc>
          <w:tcPr>
            <w:tcW w:w="1908" w:type="dxa"/>
            <w:noWrap/>
            <w:vAlign w:val="bottom"/>
            <w:hideMark/>
          </w:tcPr>
          <w:p w:rsidR="00F042B2" w:rsidRPr="004D6A22" w:rsidRDefault="00F042B2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2070" w:type="dxa"/>
            <w:noWrap/>
            <w:vAlign w:val="bottom"/>
            <w:hideMark/>
          </w:tcPr>
          <w:p w:rsidR="00F042B2" w:rsidRPr="004D6A22" w:rsidRDefault="00F042B2" w:rsidP="004D6A22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7.93</w:t>
            </w:r>
          </w:p>
        </w:tc>
      </w:tr>
      <w:tr w:rsidR="00F042B2" w:rsidRPr="00ED3D55" w:rsidTr="004D6A22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Të hyrat Vetanake të bartura nga viti paraprak</w:t>
            </w:r>
          </w:p>
        </w:tc>
        <w:tc>
          <w:tcPr>
            <w:tcW w:w="1620" w:type="dxa"/>
            <w:noWrap/>
            <w:hideMark/>
          </w:tcPr>
          <w:p w:rsidR="00F042B2" w:rsidRDefault="00F042B2">
            <w:pPr>
              <w:jc w:val="right"/>
              <w:cnfStyle w:val="0000001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158,438 </w:t>
            </w:r>
          </w:p>
        </w:tc>
        <w:tc>
          <w:tcPr>
            <w:tcW w:w="1371" w:type="dxa"/>
            <w:noWrap/>
            <w:vAlign w:val="bottom"/>
            <w:hideMark/>
          </w:tcPr>
          <w:p w:rsidR="00F042B2" w:rsidRPr="004D6A22" w:rsidRDefault="00F042B2" w:rsidP="004D6A22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8" w:type="dxa"/>
            <w:noWrap/>
            <w:vAlign w:val="bottom"/>
            <w:hideMark/>
          </w:tcPr>
          <w:p w:rsidR="00F042B2" w:rsidRPr="004D6A22" w:rsidRDefault="00F042B2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2070" w:type="dxa"/>
            <w:noWrap/>
            <w:vAlign w:val="bottom"/>
            <w:hideMark/>
          </w:tcPr>
          <w:p w:rsidR="00F042B2" w:rsidRPr="004D6A22" w:rsidRDefault="00F042B2" w:rsidP="004D6A22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F042B2" w:rsidRPr="00ED3D55" w:rsidTr="004D6A22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Donacionet/Financimet tjera</w:t>
            </w:r>
          </w:p>
        </w:tc>
        <w:tc>
          <w:tcPr>
            <w:tcW w:w="1620" w:type="dxa"/>
            <w:noWrap/>
            <w:hideMark/>
          </w:tcPr>
          <w:p w:rsidR="00F042B2" w:rsidRDefault="00F042B2">
            <w:pPr>
              <w:jc w:val="right"/>
              <w:cnfStyle w:val="0000000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125,283 </w:t>
            </w:r>
          </w:p>
        </w:tc>
        <w:tc>
          <w:tcPr>
            <w:tcW w:w="1371" w:type="dxa"/>
            <w:noWrap/>
            <w:vAlign w:val="bottom"/>
            <w:hideMark/>
          </w:tcPr>
          <w:p w:rsidR="00F042B2" w:rsidRPr="004D6A22" w:rsidRDefault="00F042B2" w:rsidP="004D6A22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4,215.24</w:t>
            </w:r>
          </w:p>
        </w:tc>
        <w:tc>
          <w:tcPr>
            <w:tcW w:w="1908" w:type="dxa"/>
            <w:noWrap/>
            <w:vAlign w:val="bottom"/>
            <w:hideMark/>
          </w:tcPr>
          <w:p w:rsidR="00F042B2" w:rsidRPr="004D6A22" w:rsidRDefault="00F042B2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070" w:type="dxa"/>
            <w:noWrap/>
            <w:vAlign w:val="bottom"/>
            <w:hideMark/>
          </w:tcPr>
          <w:p w:rsidR="00F042B2" w:rsidRPr="004D6A22" w:rsidRDefault="00F042B2" w:rsidP="004D6A22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0.05</w:t>
            </w:r>
          </w:p>
        </w:tc>
      </w:tr>
      <w:tr w:rsidR="00F042B2" w:rsidRPr="00ED3D55" w:rsidTr="004D6A22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Financim nga Huamarrja*</w:t>
            </w:r>
          </w:p>
        </w:tc>
        <w:tc>
          <w:tcPr>
            <w:tcW w:w="1620" w:type="dxa"/>
            <w:noWrap/>
            <w:hideMark/>
          </w:tcPr>
          <w:p w:rsidR="00F042B2" w:rsidRDefault="00F042B2">
            <w:pPr>
              <w:jc w:val="right"/>
              <w:cnfStyle w:val="0000001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2,395,266 </w:t>
            </w:r>
          </w:p>
        </w:tc>
        <w:tc>
          <w:tcPr>
            <w:tcW w:w="1371" w:type="dxa"/>
            <w:noWrap/>
            <w:hideMark/>
          </w:tcPr>
          <w:p w:rsidR="00F042B2" w:rsidRPr="004D6A22" w:rsidRDefault="00F042B2" w:rsidP="00ED3D55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8" w:type="dxa"/>
            <w:noWrap/>
            <w:vAlign w:val="bottom"/>
            <w:hideMark/>
          </w:tcPr>
          <w:p w:rsidR="00F042B2" w:rsidRPr="004D6A22" w:rsidRDefault="00F042B2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24.28</w:t>
            </w:r>
          </w:p>
        </w:tc>
        <w:tc>
          <w:tcPr>
            <w:tcW w:w="2070" w:type="dxa"/>
            <w:noWrap/>
            <w:vAlign w:val="bottom"/>
            <w:hideMark/>
          </w:tcPr>
          <w:p w:rsidR="00F042B2" w:rsidRPr="004D6A22" w:rsidRDefault="00F042B2" w:rsidP="004D6A22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F042B2" w:rsidRPr="00ED3D55" w:rsidTr="00015AA6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0" w:type="dxa"/>
            <w:noWrap/>
            <w:vAlign w:val="bottom"/>
            <w:hideMark/>
          </w:tcPr>
          <w:p w:rsidR="00F042B2" w:rsidRPr="00F042B2" w:rsidRDefault="00F042B2" w:rsidP="00F042B2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042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9,865,706</w:t>
            </w:r>
          </w:p>
        </w:tc>
        <w:tc>
          <w:tcPr>
            <w:tcW w:w="1371" w:type="dxa"/>
            <w:noWrap/>
            <w:hideMark/>
          </w:tcPr>
          <w:p w:rsidR="00F042B2" w:rsidRPr="00F042B2" w:rsidRDefault="00F042B2" w:rsidP="00F042B2">
            <w:pPr>
              <w:jc w:val="right"/>
              <w:cnfStyle w:val="0000000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7,941,927</w:t>
            </w:r>
          </w:p>
        </w:tc>
        <w:tc>
          <w:tcPr>
            <w:tcW w:w="1908" w:type="dxa"/>
            <w:noWrap/>
            <w:hideMark/>
          </w:tcPr>
          <w:p w:rsidR="00F042B2" w:rsidRPr="00ED3D55" w:rsidRDefault="00F042B2" w:rsidP="00FA0907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70" w:type="dxa"/>
            <w:noWrap/>
            <w:hideMark/>
          </w:tcPr>
          <w:p w:rsidR="00F042B2" w:rsidRPr="00FA0907" w:rsidRDefault="004D6A22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F042B2" w:rsidRPr="00ED3D55" w:rsidTr="00C93180">
        <w:trPr>
          <w:cnfStyle w:val="000000100000"/>
          <w:trHeight w:val="288"/>
        </w:trPr>
        <w:tc>
          <w:tcPr>
            <w:cnfStyle w:val="001000000000"/>
            <w:tcW w:w="3600" w:type="dxa"/>
            <w:noWrap/>
          </w:tcPr>
          <w:p w:rsidR="00F042B2" w:rsidRPr="00ED3D55" w:rsidRDefault="00F042B2" w:rsidP="00ED3D5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noWrap/>
            <w:vAlign w:val="bottom"/>
          </w:tcPr>
          <w:p w:rsidR="00F042B2" w:rsidRDefault="00F042B2" w:rsidP="00F042B2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1371" w:type="dxa"/>
            <w:noWrap/>
          </w:tcPr>
          <w:p w:rsidR="00F042B2" w:rsidRDefault="00F042B2" w:rsidP="00ED3D55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8" w:type="dxa"/>
            <w:noWrap/>
          </w:tcPr>
          <w:p w:rsidR="00F042B2" w:rsidRPr="00ED3D55" w:rsidRDefault="00F042B2" w:rsidP="00FA0907">
            <w:pPr>
              <w:jc w:val="right"/>
              <w:cnfStyle w:val="00000010000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noWrap/>
          </w:tcPr>
          <w:p w:rsidR="00F042B2" w:rsidRPr="00FA0907" w:rsidRDefault="00F042B2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C514FE" w:rsidRDefault="00C514FE">
      <w:pPr>
        <w:spacing w:line="276" w:lineRule="auto"/>
        <w:jc w:val="both"/>
      </w:pPr>
    </w:p>
    <w:p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F042B2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B9095A" w:rsidRPr="00F042B2">
        <w:t>67.</w:t>
      </w:r>
      <w:r w:rsidR="00F042B2" w:rsidRPr="00F042B2">
        <w:t>74</w:t>
      </w:r>
      <w:r w:rsidR="009C40DB" w:rsidRPr="00F042B2">
        <w:t>%</w:t>
      </w:r>
      <w:r w:rsidR="009C40DB">
        <w:t xml:space="preserve"> në</w:t>
      </w:r>
      <w:r>
        <w:t xml:space="preserve"> vitin 201</w:t>
      </w:r>
      <w:r w:rsidR="00B9095A">
        <w:t>9, dhe 92.02%</w:t>
      </w:r>
      <w:r>
        <w:t xml:space="preserve"> n</w:t>
      </w:r>
      <w:r w:rsidR="009C40DB">
        <w:t>ë</w:t>
      </w:r>
      <w:r>
        <w:t xml:space="preserve"> vitin 20</w:t>
      </w:r>
      <w:r w:rsidR="00B9095A">
        <w:t>20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BA31D3" w:rsidRDefault="00BA31D3" w:rsidP="00BA31D3">
      <w:pPr>
        <w:spacing w:line="276" w:lineRule="auto"/>
        <w:ind w:left="360"/>
        <w:jc w:val="both"/>
      </w:pPr>
    </w:p>
    <w:p w:rsidR="0077010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946E59" w:rsidRPr="003A4B2B">
        <w:rPr>
          <w:b/>
        </w:rPr>
        <w:t>Mars</w:t>
      </w:r>
      <w:r w:rsidR="00F37EDB" w:rsidRPr="003A4B2B">
        <w:rPr>
          <w:b/>
        </w:rPr>
        <w:t xml:space="preserve"> 20</w:t>
      </w:r>
      <w:r w:rsidR="00E16FB6">
        <w:rPr>
          <w:b/>
        </w:rPr>
        <w:t>20</w:t>
      </w:r>
      <w:r w:rsidR="00F62259">
        <w:t xml:space="preserve"> </w:t>
      </w:r>
      <w:r w:rsidR="004674B8">
        <w:t xml:space="preserve">u inkasuan gjithsej Të Hyra Vetanake në vlerë prej </w:t>
      </w:r>
      <w:r w:rsidR="00E16FB6">
        <w:rPr>
          <w:b/>
        </w:rPr>
        <w:t>10</w:t>
      </w:r>
      <w:r w:rsidR="00924415">
        <w:rPr>
          <w:b/>
        </w:rPr>
        <w:t>6</w:t>
      </w:r>
      <w:r w:rsidR="00E16FB6">
        <w:rPr>
          <w:b/>
        </w:rPr>
        <w:t>,</w:t>
      </w:r>
      <w:r w:rsidR="00924415">
        <w:rPr>
          <w:b/>
        </w:rPr>
        <w:t>4</w:t>
      </w:r>
      <w:r w:rsidR="00E16FB6">
        <w:rPr>
          <w:b/>
        </w:rPr>
        <w:t>83.24</w:t>
      </w:r>
      <w:r w:rsidR="00C0697F" w:rsidRPr="00ED3D55">
        <w:rPr>
          <w:b/>
        </w:rPr>
        <w:t>€</w:t>
      </w:r>
      <w:r w:rsidR="004F7ADD" w:rsidRPr="00ED3D55">
        <w:t xml:space="preserve">. </w:t>
      </w:r>
      <w:r w:rsidR="004674B8" w:rsidRPr="00ED3D55">
        <w:t>Realizimi i të hyrav</w:t>
      </w:r>
      <w:r w:rsidR="004F7ADD" w:rsidRPr="00ED3D55">
        <w:t xml:space="preserve">e në periudhën </w:t>
      </w:r>
      <w:r w:rsidR="004F7ADD" w:rsidRPr="00ED3D55">
        <w:rPr>
          <w:b/>
        </w:rPr>
        <w:t xml:space="preserve">Janar - </w:t>
      </w:r>
      <w:r w:rsidR="00946E59" w:rsidRPr="00ED3D55">
        <w:rPr>
          <w:b/>
        </w:rPr>
        <w:t>Mars</w:t>
      </w:r>
      <w:r w:rsidR="00BF6DD2" w:rsidRPr="00ED3D55">
        <w:rPr>
          <w:b/>
        </w:rPr>
        <w:t xml:space="preserve"> 20</w:t>
      </w:r>
      <w:r w:rsidR="00E16FB6">
        <w:rPr>
          <w:b/>
        </w:rPr>
        <w:t>20</w:t>
      </w:r>
      <w:r w:rsidR="00946E59" w:rsidRPr="00ED3D55">
        <w:t xml:space="preserve"> i shprehur n</w:t>
      </w:r>
      <w:r w:rsidRPr="00ED3D55">
        <w:t>ë</w:t>
      </w:r>
      <w:r w:rsidR="00946E59" w:rsidRPr="00ED3D55">
        <w:t xml:space="preserve"> p</w:t>
      </w:r>
      <w:r w:rsidRPr="00ED3D55">
        <w:t>ë</w:t>
      </w:r>
      <w:r w:rsidR="00946E59" w:rsidRPr="00ED3D55">
        <w:t>rqindje n</w:t>
      </w:r>
      <w:r w:rsidR="00647A67" w:rsidRPr="00ED3D55">
        <w:t>ë</w:t>
      </w:r>
      <w:r w:rsidR="00946E59" w:rsidRPr="00ED3D55">
        <w:t xml:space="preserve"> rapor</w:t>
      </w:r>
      <w:r w:rsidR="00174366" w:rsidRPr="00ED3D55">
        <w:t>t me Planifikimin p</w:t>
      </w:r>
      <w:r w:rsidRPr="00ED3D55">
        <w:t>ë</w:t>
      </w:r>
      <w:r w:rsidR="00174366" w:rsidRPr="00ED3D55">
        <w:t xml:space="preserve">r vitin </w:t>
      </w:r>
      <w:r w:rsidR="00174366" w:rsidRPr="00ED3D55">
        <w:rPr>
          <w:b/>
        </w:rPr>
        <w:t>20</w:t>
      </w:r>
      <w:r w:rsidR="00E16FB6">
        <w:rPr>
          <w:b/>
        </w:rPr>
        <w:t>20</w:t>
      </w:r>
      <w:r w:rsidR="00946E59" w:rsidRPr="00ED3D55">
        <w:t xml:space="preserve"> </w:t>
      </w:r>
      <w:r w:rsidRPr="00ED3D55">
        <w:t>ë</w:t>
      </w:r>
      <w:r w:rsidR="00946E59" w:rsidRPr="00ED3D55">
        <w:t>sht</w:t>
      </w:r>
      <w:r w:rsidRPr="00ED3D55">
        <w:t>ë</w:t>
      </w:r>
      <w:r w:rsidR="00946E59" w:rsidRPr="00ED3D55">
        <w:t xml:space="preserve"> </w:t>
      </w:r>
      <w:r w:rsidR="00A045B2" w:rsidRPr="00ED3D55">
        <w:rPr>
          <w:b/>
        </w:rPr>
        <w:t>1</w:t>
      </w:r>
      <w:r w:rsidR="00ED3D55" w:rsidRPr="00ED3D55">
        <w:rPr>
          <w:b/>
        </w:rPr>
        <w:t>7</w:t>
      </w:r>
      <w:r w:rsidR="00946E59" w:rsidRPr="00ED3D55">
        <w:rPr>
          <w:b/>
        </w:rPr>
        <w:t>%</w:t>
      </w:r>
      <w:r w:rsidR="00A045B2" w:rsidRPr="00ED3D55">
        <w:t>, ndërsa n</w:t>
      </w:r>
      <w:r w:rsidRPr="00ED3D55">
        <w:t>ë</w:t>
      </w:r>
      <w:r w:rsidR="00A045B2" w:rsidRPr="00ED3D55">
        <w:t>se e krahasojm</w:t>
      </w:r>
      <w:r w:rsidRPr="00ED3D55">
        <w:t>ë</w:t>
      </w:r>
      <w:r w:rsidR="00A045B2" w:rsidRPr="00ED3D55">
        <w:t xml:space="preserve"> me të njejtën periudhë te vitit </w:t>
      </w:r>
      <w:r w:rsidR="00A045B2" w:rsidRPr="00ED3D55">
        <w:rPr>
          <w:b/>
        </w:rPr>
        <w:t>201</w:t>
      </w:r>
      <w:r w:rsidR="00E16FB6">
        <w:rPr>
          <w:b/>
        </w:rPr>
        <w:t>9</w:t>
      </w:r>
      <w:r w:rsidR="00A045B2" w:rsidRPr="00ED3D55">
        <w:t xml:space="preserve"> atëher</w:t>
      </w:r>
      <w:r w:rsidRPr="00ED3D55">
        <w:t>ë</w:t>
      </w:r>
      <w:r w:rsidR="00A045B2" w:rsidRPr="00ED3D55">
        <w:t xml:space="preserve"> n</w:t>
      </w:r>
      <w:r w:rsidRPr="00ED3D55">
        <w:t>ë t</w:t>
      </w:r>
      <w:r w:rsidR="00A045B2" w:rsidRPr="00ED3D55">
        <w:t>otal inkasimi i të Hyr</w:t>
      </w:r>
      <w:r w:rsidR="00A045B2">
        <w:t xml:space="preserve">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E16FB6">
        <w:rPr>
          <w:b/>
        </w:rPr>
        <w:t>2</w:t>
      </w:r>
      <w:r w:rsidR="00924415">
        <w:rPr>
          <w:b/>
        </w:rPr>
        <w:t>1</w:t>
      </w:r>
      <w:r w:rsidR="00A045B2" w:rsidRPr="00A045B2">
        <w:rPr>
          <w:b/>
        </w:rPr>
        <w:t>%</w:t>
      </w:r>
      <w:r w:rsidR="00A045B2">
        <w:t xml:space="preserve"> me i </w:t>
      </w:r>
      <w:r w:rsidR="00E16FB6">
        <w:t>madhe</w:t>
      </w:r>
      <w:r w:rsidR="00A045B2">
        <w:t xml:space="preserve">  n</w:t>
      </w:r>
      <w:r>
        <w:t>ë</w:t>
      </w:r>
      <w:r w:rsidR="00A045B2">
        <w:t xml:space="preserve"> </w:t>
      </w:r>
      <w:r w:rsidR="008C56CB">
        <w:t>vitin 20</w:t>
      </w:r>
      <w:r w:rsidR="00E16FB6">
        <w:t>20</w:t>
      </w:r>
      <w:r w:rsidR="00A045B2">
        <w:t xml:space="preserve"> </w:t>
      </w:r>
      <w:r w:rsidR="00946E59">
        <w:t>dhe nëse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</w:t>
      </w:r>
      <w:r w:rsidR="00946E59">
        <w:lastRenderedPageBreak/>
        <w:t>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</w:t>
      </w:r>
      <w:r w:rsidR="00E16FB6">
        <w:t>20</w:t>
      </w:r>
      <w:r w:rsidR="003A4B2B" w:rsidRPr="00A045B2">
        <w:t xml:space="preserve">, </w:t>
      </w:r>
      <w:r w:rsidR="004D6A22">
        <w:t>mirepo per shkak te gjendjes se krijuar me virusin COVID -19 do të</w:t>
      </w:r>
      <w:r w:rsidR="003A4B2B" w:rsidRPr="00A045B2">
        <w:t xml:space="preserve"> kemi trende negative te inkasimit </w:t>
      </w:r>
      <w:r w:rsidR="004D6A22">
        <w:t>në periudhen ne vazhdim .N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</w:t>
      </w:r>
      <w:r w:rsidR="00434D1E">
        <w:t>inkasimi i te hyrave ishte si</w:t>
      </w:r>
      <w:r w:rsidR="0077010C" w:rsidRPr="00A045B2">
        <w:t xml:space="preserve"> në tabel</w:t>
      </w:r>
      <w:r w:rsidR="00955132">
        <w:t>ë</w:t>
      </w:r>
      <w:r w:rsidR="0077010C" w:rsidRPr="00A045B2">
        <w:t xml:space="preserve">. </w:t>
      </w:r>
    </w:p>
    <w:p w:rsidR="004674B8" w:rsidRPr="00434D1E" w:rsidRDefault="0077010C" w:rsidP="003A4B2B">
      <w:pPr>
        <w:spacing w:line="276" w:lineRule="auto"/>
        <w:jc w:val="both"/>
      </w:pPr>
      <w:r w:rsidRPr="00434D1E">
        <w:t xml:space="preserve">Këto </w:t>
      </w:r>
      <w:r w:rsidR="00647A67" w:rsidRPr="00434D1E">
        <w:t>trende</w:t>
      </w:r>
      <w:r w:rsidRPr="00434D1E">
        <w:t xml:space="preserve"> </w:t>
      </w:r>
      <w:r w:rsidR="00647A67" w:rsidRPr="00434D1E">
        <w:t>janë ndikuar nga disa faktor</w:t>
      </w:r>
      <w:r w:rsidR="00A95C24" w:rsidRPr="00434D1E">
        <w:t>ë</w:t>
      </w:r>
      <w:r w:rsidR="008C56CB" w:rsidRPr="00434D1E">
        <w:t xml:space="preserve"> siq janë</w:t>
      </w:r>
      <w:r w:rsidR="007A3CF8" w:rsidRPr="00434D1E">
        <w:t>: për tatimin në pronë-</w:t>
      </w:r>
      <w:r w:rsidR="008C56CB" w:rsidRPr="00434D1E">
        <w:t xml:space="preserve"> </w:t>
      </w:r>
      <w:r w:rsidR="007A3CF8" w:rsidRPr="00434D1E">
        <w:t>shpërndarja e</w:t>
      </w:r>
      <w:r w:rsidR="00434D1E">
        <w:t xml:space="preserve"> vonuar</w:t>
      </w:r>
      <w:r w:rsidR="007A3CF8" w:rsidRPr="00434D1E">
        <w:t xml:space="preserve"> </w:t>
      </w:r>
      <w:r w:rsidR="008C56CB" w:rsidRPr="00434D1E">
        <w:t>faturimi</w:t>
      </w:r>
      <w:r w:rsidR="007A3CF8" w:rsidRPr="00434D1E">
        <w:t>t</w:t>
      </w:r>
      <w:r w:rsidR="008C56CB" w:rsidRPr="00434D1E">
        <w:t xml:space="preserve"> për </w:t>
      </w:r>
      <w:r w:rsidR="00A95C24" w:rsidRPr="00434D1E">
        <w:t xml:space="preserve">vitin </w:t>
      </w:r>
      <w:r w:rsidR="008C56CB" w:rsidRPr="00434D1E">
        <w:t>20</w:t>
      </w:r>
      <w:r w:rsidR="00434D1E" w:rsidRPr="00434D1E">
        <w:t>20</w:t>
      </w:r>
      <w:r w:rsidR="00A95C24" w:rsidRPr="00434D1E">
        <w:t>-të</w:t>
      </w:r>
      <w:r w:rsidR="008C56CB" w:rsidRPr="00434D1E">
        <w:t xml:space="preserve"> </w:t>
      </w:r>
      <w:r w:rsidR="00434D1E">
        <w:t>per shkak t</w:t>
      </w:r>
      <w:r w:rsidR="00570198">
        <w:t>e gjendjes se krijuar na Pandemia</w:t>
      </w:r>
      <w:r w:rsidR="00434D1E">
        <w:t xml:space="preserve"> </w:t>
      </w:r>
      <w:r w:rsidR="00570198">
        <w:t>t</w:t>
      </w:r>
      <w:r w:rsidR="00434D1E">
        <w:t>e cila ishte dashur te shperndehen ne muajin Mars</w:t>
      </w:r>
      <w:r w:rsidR="00434D1E" w:rsidRPr="00434D1E">
        <w:t>.</w:t>
      </w:r>
      <w:r w:rsidR="005B21E5" w:rsidRPr="00434D1E">
        <w:t xml:space="preserve"> G</w:t>
      </w:r>
      <w:r w:rsidR="008C56CB" w:rsidRPr="00434D1E">
        <w:t>jithashtu</w:t>
      </w:r>
      <w:r w:rsidR="00807826" w:rsidRPr="00434D1E">
        <w:t xml:space="preserve"> aktivitetet gjeodezike jan</w:t>
      </w:r>
      <w:r w:rsidR="00A95C24" w:rsidRPr="00434D1E">
        <w:t>ë</w:t>
      </w:r>
      <w:r w:rsidR="00807826" w:rsidRPr="00434D1E">
        <w:t xml:space="preserve"> kryer edhe nga se</w:t>
      </w:r>
      <w:r w:rsidR="00434D1E">
        <w:t xml:space="preserve">ktori privat dhe </w:t>
      </w:r>
      <w:r w:rsidR="00807826" w:rsidRPr="00434D1E">
        <w:t xml:space="preserve"> p</w:t>
      </w:r>
      <w:r w:rsidR="00A95C24" w:rsidRPr="00434D1E">
        <w:t>ër këto aktivite ka ndikuar që</w:t>
      </w:r>
      <w:r w:rsidR="00807826" w:rsidRPr="00434D1E">
        <w:t xml:space="preserve"> t</w:t>
      </w:r>
      <w:r w:rsidR="00A95C24" w:rsidRPr="00434D1E">
        <w:t>ë</w:t>
      </w:r>
      <w:r w:rsidR="00807826" w:rsidRPr="00434D1E">
        <w:t xml:space="preserve"> kemi trend </w:t>
      </w:r>
      <w:r w:rsidR="008C56CB" w:rsidRPr="00434D1E">
        <w:t>të ul</w:t>
      </w:r>
      <w:r w:rsidR="00A95C24" w:rsidRPr="00434D1E">
        <w:t>ë</w:t>
      </w:r>
      <w:r w:rsidR="008C56CB" w:rsidRPr="00434D1E">
        <w:t>t n</w:t>
      </w:r>
      <w:r w:rsidR="00A95C24" w:rsidRPr="00434D1E">
        <w:t>ë</w:t>
      </w:r>
      <w:r w:rsidR="008C56CB" w:rsidRPr="00434D1E">
        <w:t xml:space="preserve"> disa pozicione</w:t>
      </w:r>
      <w:r w:rsidR="00807826" w:rsidRPr="00434D1E">
        <w:t xml:space="preserve"> t</w:t>
      </w:r>
      <w:r w:rsidR="00A95C24" w:rsidRPr="00434D1E">
        <w:t>ë</w:t>
      </w:r>
      <w:r w:rsidR="00807826" w:rsidRPr="00434D1E">
        <w:t xml:space="preserve"> inkasimit, pozicion d</w:t>
      </w:r>
      <w:r w:rsidR="00A95C24" w:rsidRPr="00434D1E">
        <w:t>ë</w:t>
      </w:r>
      <w:r w:rsidR="00807826" w:rsidRPr="00434D1E">
        <w:t>nimet n</w:t>
      </w:r>
      <w:r w:rsidR="001C49D0" w:rsidRPr="00434D1E">
        <w:t>ë</w:t>
      </w:r>
      <w:r w:rsidR="00807826" w:rsidRPr="00434D1E">
        <w:t xml:space="preserve"> komuikacion dhe gjykat</w:t>
      </w:r>
      <w:r w:rsidR="001C49D0" w:rsidRPr="00434D1E">
        <w:t>ë</w:t>
      </w:r>
      <w:r w:rsidR="00807826" w:rsidRPr="00434D1E">
        <w:t xml:space="preserve"> jan</w:t>
      </w:r>
      <w:r w:rsidR="001C49D0" w:rsidRPr="00434D1E">
        <w:t>ë</w:t>
      </w:r>
      <w:r w:rsidR="00807826" w:rsidRPr="00434D1E">
        <w:t xml:space="preserve"> t</w:t>
      </w:r>
      <w:r w:rsidR="001C49D0" w:rsidRPr="00434D1E">
        <w:t>ë</w:t>
      </w:r>
      <w:r w:rsidR="00807826" w:rsidRPr="00434D1E">
        <w:t xml:space="preserve"> hyra q</w:t>
      </w:r>
      <w:r w:rsidR="001C49D0" w:rsidRPr="00434D1E">
        <w:t>ë</w:t>
      </w:r>
      <w:r w:rsidR="00807826" w:rsidRPr="00434D1E">
        <w:t xml:space="preserve"> inkasohen p</w:t>
      </w:r>
      <w:r w:rsidR="001C49D0" w:rsidRPr="00434D1E">
        <w:t>ë</w:t>
      </w:r>
      <w:r w:rsidR="00807826" w:rsidRPr="00434D1E">
        <w:t>rmes instuticioneve tjera pa ndikim direkt t</w:t>
      </w:r>
      <w:r w:rsidR="001C49D0" w:rsidRPr="00434D1E">
        <w:t>ë</w:t>
      </w:r>
      <w:r w:rsidR="00807826" w:rsidRPr="00434D1E">
        <w:t xml:space="preserve"> komun</w:t>
      </w:r>
      <w:r w:rsidR="001C49D0" w:rsidRPr="00434D1E">
        <w:t>ë</w:t>
      </w:r>
      <w:r w:rsidR="00807826" w:rsidRPr="00434D1E">
        <w:t>s</w:t>
      </w:r>
      <w:r w:rsidRPr="00434D1E">
        <w:t>, si dhe licencat dhe p</w:t>
      </w:r>
      <w:r w:rsidR="001C49D0" w:rsidRPr="00434D1E">
        <w:t>ë</w:t>
      </w:r>
      <w:r w:rsidRPr="00434D1E">
        <w:t>lqimet komunale janë ndikuar nga strukturimi i tyre n</w:t>
      </w:r>
      <w:r w:rsidR="001C49D0" w:rsidRPr="00434D1E">
        <w:t>ë</w:t>
      </w:r>
      <w:r w:rsidRPr="00434D1E">
        <w:t xml:space="preserve"> aspektin e largimit si taksa dhe ulje t</w:t>
      </w:r>
      <w:r w:rsidR="001C49D0" w:rsidRPr="00434D1E">
        <w:t>ë</w:t>
      </w:r>
      <w:r w:rsidRPr="00434D1E">
        <w:t xml:space="preserve"> tarifave n</w:t>
      </w:r>
      <w:r w:rsidR="001C49D0" w:rsidRPr="00434D1E">
        <w:t>ë</w:t>
      </w:r>
      <w:r w:rsidRPr="00434D1E">
        <w:t xml:space="preserve"> licenca dhe p</w:t>
      </w:r>
      <w:r w:rsidR="001C49D0" w:rsidRPr="00434D1E">
        <w:t>ë</w:t>
      </w:r>
      <w:r w:rsidRPr="00434D1E">
        <w:t>lqime</w:t>
      </w:r>
      <w:r w:rsidR="003A4B2B" w:rsidRPr="00434D1E">
        <w:t>.</w:t>
      </w:r>
    </w:p>
    <w:p w:rsidR="00BA31D3" w:rsidRPr="00434D1E" w:rsidRDefault="00BA31D3" w:rsidP="003A4B2B">
      <w:pPr>
        <w:spacing w:line="276" w:lineRule="auto"/>
        <w:jc w:val="both"/>
      </w:pPr>
    </w:p>
    <w:p w:rsidR="00C66AEF" w:rsidRP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</w:t>
      </w:r>
      <w:r w:rsidR="00C66AEF">
        <w:rPr>
          <w:rFonts w:eastAsia="Times New Roman"/>
          <w:i/>
          <w:sz w:val="22"/>
          <w:szCs w:val="22"/>
          <w:lang w:val="en-US"/>
        </w:rPr>
        <w:t>e për periudhën Janar - Mars 2020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</w:t>
      </w:r>
      <w:r w:rsidR="00C66AEF">
        <w:rPr>
          <w:rFonts w:eastAsia="Times New Roman"/>
          <w:i/>
          <w:sz w:val="22"/>
          <w:szCs w:val="22"/>
          <w:lang w:val="en-US"/>
        </w:rPr>
        <w:t>asuar me planifikimin vjetor 2020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tbl>
      <w:tblPr>
        <w:tblW w:w="10296" w:type="dxa"/>
        <w:tblInd w:w="95" w:type="dxa"/>
        <w:tblLook w:val="04A0"/>
      </w:tblPr>
      <w:tblGrid>
        <w:gridCol w:w="1960"/>
        <w:gridCol w:w="1515"/>
        <w:gridCol w:w="1237"/>
        <w:gridCol w:w="1316"/>
        <w:gridCol w:w="1275"/>
        <w:gridCol w:w="1440"/>
        <w:gridCol w:w="1553"/>
      </w:tblGrid>
      <w:tr w:rsidR="00C66AEF" w:rsidRPr="00C66AEF" w:rsidTr="00165AF9">
        <w:trPr>
          <w:trHeight w:val="191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 xml:space="preserve"> Realizimi Janar-Mars 2019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 xml:space="preserve"> Realizimi Janar-Mars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C66AEF" w:rsidRPr="00C66AEF" w:rsidTr="00165AF9">
        <w:trPr>
          <w:trHeight w:val="9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C=((B-A)/A)*100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C66AEF" w:rsidRPr="00C66AEF" w:rsidRDefault="00C66AEF" w:rsidP="00C66A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C66AEF" w:rsidRPr="00C66AEF" w:rsidTr="00165AF9">
        <w:trPr>
          <w:trHeight w:val="646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27,725.50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27,542.29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-1%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279,573.00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10%</w:t>
            </w:r>
          </w:p>
        </w:tc>
      </w:tr>
      <w:tr w:rsidR="00C66AEF" w:rsidRPr="00C66AEF" w:rsidTr="00165AF9">
        <w:trPr>
          <w:trHeight w:val="66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3,169.00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2,906.00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-8%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15,000.00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19%</w:t>
            </w:r>
          </w:p>
        </w:tc>
      </w:tr>
      <w:tr w:rsidR="00C66AEF" w:rsidRPr="00C66AEF" w:rsidTr="00165AF9">
        <w:trPr>
          <w:trHeight w:val="63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Taksat për automjete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11,010.00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10,300.00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-6%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8C1941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55,000.00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8C1941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19</w:t>
            </w:r>
            <w:r w:rsidR="00C66AEF"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</w:tr>
      <w:tr w:rsidR="00C66AEF" w:rsidRPr="00C66AEF" w:rsidTr="00165AF9">
        <w:trPr>
          <w:trHeight w:val="94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381.00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B001BD" w:rsidP="00B001BD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="00C66AEF" w:rsidRPr="00C66AEF">
              <w:rPr>
                <w:rFonts w:ascii="Calibri" w:eastAsia="Times New Roman" w:hAnsi="Calibri" w:cs="Calibri"/>
                <w:color w:val="000000"/>
                <w:lang w:val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="00C66AEF" w:rsidRPr="00C66AEF">
              <w:rPr>
                <w:rFonts w:ascii="Calibri" w:eastAsia="Times New Roman" w:hAnsi="Calibri" w:cs="Calibri"/>
                <w:color w:val="000000"/>
                <w:lang w:val="en-US"/>
              </w:rPr>
              <w:t>03.00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B30119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583</w:t>
            </w:r>
            <w:r w:rsidR="00C66AEF" w:rsidRPr="00C66AEF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33,500.00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B30119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8</w:t>
            </w:r>
            <w:r w:rsidR="00C66AEF"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</w:tr>
      <w:tr w:rsidR="00C66AEF" w:rsidRPr="00C66AEF" w:rsidTr="00165AF9">
        <w:trPr>
          <w:trHeight w:val="783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777.08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4,141.83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433%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86,500.00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5%</w:t>
            </w:r>
          </w:p>
        </w:tc>
      </w:tr>
      <w:tr w:rsidR="00C66AEF" w:rsidRPr="00C66AEF" w:rsidTr="00165AF9">
        <w:trPr>
          <w:trHeight w:val="118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9,684.50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9,662.50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977BB0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  <w:r w:rsidR="00C66AEF" w:rsidRPr="00C66AEF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26,500.00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36%</w:t>
            </w:r>
          </w:p>
        </w:tc>
      </w:tr>
      <w:tr w:rsidR="00C66AEF" w:rsidRPr="00C66AEF" w:rsidTr="00165AF9">
        <w:trPr>
          <w:trHeight w:val="112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8,009.00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6,318.00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-21%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65,800.00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10%</w:t>
            </w:r>
          </w:p>
        </w:tc>
      </w:tr>
      <w:tr w:rsidR="00C66AEF" w:rsidRPr="00C66AEF" w:rsidTr="00165AF9">
        <w:trPr>
          <w:trHeight w:val="76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Të ardhurat nga arsimi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3,419.00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4,339.00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16,100.00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27%</w:t>
            </w:r>
          </w:p>
        </w:tc>
      </w:tr>
      <w:tr w:rsidR="00C66AEF" w:rsidRPr="00C66AEF" w:rsidTr="00165AF9">
        <w:trPr>
          <w:trHeight w:val="129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Te ardhurat në shëndetësi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9,722.10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10,352.60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39,178.00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26%</w:t>
            </w:r>
          </w:p>
        </w:tc>
      </w:tr>
      <w:tr w:rsidR="00C66AEF" w:rsidRPr="00C66AEF" w:rsidTr="00165AF9">
        <w:trPr>
          <w:trHeight w:val="10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Dënimet në komunikacion dhe gjykatë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10,895.00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26,550.00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144%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8C1941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="00C66AEF"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</w:tr>
      <w:tr w:rsidR="00C66AEF" w:rsidRPr="00C66AEF" w:rsidTr="00165AF9">
        <w:trPr>
          <w:trHeight w:val="88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rPr>
                <w:rFonts w:eastAsia="Times New Roman"/>
                <w:color w:val="000000"/>
                <w:lang w:val="en-US"/>
              </w:rPr>
            </w:pPr>
            <w:r w:rsidRPr="00C66AEF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3,291.02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1,768.02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-46%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color w:val="000000"/>
                <w:lang w:val="en-US"/>
              </w:rPr>
              <w:t>12,500.00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14%</w:t>
            </w:r>
          </w:p>
        </w:tc>
      </w:tr>
      <w:tr w:rsidR="00C66AEF" w:rsidRPr="00C66AEF" w:rsidTr="00165AF9">
        <w:trPr>
          <w:trHeight w:val="331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AEF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88,083.20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66AEF" w:rsidRPr="00C66AEF" w:rsidRDefault="00C66AEF" w:rsidP="00B001B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  <w:r w:rsidR="00B001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6,483</w:t>
            </w:r>
            <w:r w:rsidRPr="00C66AE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66AEF" w:rsidRPr="00C66AEF" w:rsidRDefault="00C66AEF" w:rsidP="00B3011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  <w:r w:rsidR="00B301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  <w:r w:rsidRPr="00C66AE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629,651.00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66AEF" w:rsidRPr="00C66AEF" w:rsidRDefault="00C66AEF" w:rsidP="00C66AEF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66AEF">
              <w:rPr>
                <w:rFonts w:ascii="Calibri" w:eastAsia="Times New Roman" w:hAnsi="Calibri" w:cs="Calibri"/>
                <w:b/>
                <w:bCs/>
                <w:lang w:val="en-US"/>
              </w:rPr>
              <w:t>17%</w:t>
            </w:r>
          </w:p>
        </w:tc>
      </w:tr>
    </w:tbl>
    <w:p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ED3D55" w:rsidRP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C66AEF" w:rsidRDefault="00C66AEF" w:rsidP="008251E6">
      <w:pPr>
        <w:spacing w:line="276" w:lineRule="auto"/>
        <w:jc w:val="both"/>
        <w:rPr>
          <w:b/>
          <w:sz w:val="28"/>
        </w:rPr>
      </w:pPr>
    </w:p>
    <w:p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:rsidR="00BA31D3" w:rsidRDefault="00BA31D3" w:rsidP="008251E6">
      <w:pPr>
        <w:spacing w:line="276" w:lineRule="auto"/>
        <w:jc w:val="both"/>
        <w:rPr>
          <w:b/>
          <w:sz w:val="28"/>
        </w:rPr>
      </w:pPr>
    </w:p>
    <w:p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65AF9">
        <w:rPr>
          <w:rFonts w:eastAsia="Times New Roman"/>
          <w:lang w:val="en-US"/>
        </w:rPr>
        <w:t xml:space="preserve"> .</w:t>
      </w:r>
    </w:p>
    <w:p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175"/>
        <w:gridCol w:w="2970"/>
        <w:gridCol w:w="4410"/>
      </w:tblGrid>
      <w:tr w:rsidR="00130C96" w:rsidRPr="00130C96" w:rsidTr="008251E6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130C96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130C96" w:rsidRDefault="00B9095A" w:rsidP="00ED3D5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Grante tjera te jashtme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B9095A" w:rsidP="00D11D1C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B9095A" w:rsidP="00D11D1C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4,090.25</w:t>
            </w:r>
            <w:r w:rsidR="00130C96"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E85F24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104</w:t>
            </w:r>
          </w:p>
        </w:tc>
      </w:tr>
      <w:tr w:rsidR="00E85F24" w:rsidRPr="00130C96" w:rsidTr="00131198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Britaneze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nga 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 w:rsidR="001D6508">
              <w:rPr>
                <w:rFonts w:eastAsia="Times New Roman"/>
                <w:lang w:val="en-US"/>
              </w:rPr>
              <w:t>1</w:t>
            </w:r>
          </w:p>
        </w:tc>
      </w:tr>
      <w:tr w:rsidR="00E85F24" w:rsidRPr="00130C96" w:rsidTr="00131198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F24" w:rsidRPr="00E85F24" w:rsidRDefault="00E85F24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F24" w:rsidRPr="00E85F24" w:rsidRDefault="00B9095A" w:rsidP="00D11D1C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4,215.24</w:t>
            </w:r>
          </w:p>
        </w:tc>
      </w:tr>
    </w:tbl>
    <w:p w:rsidR="00242783" w:rsidRPr="00130C96" w:rsidRDefault="00242783" w:rsidP="00130C96"/>
    <w:p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  <w:bookmarkStart w:id="0" w:name="_GoBack"/>
      <w:bookmarkEnd w:id="0"/>
    </w:p>
    <w:p w:rsidR="00A92ECF" w:rsidRDefault="00A92ECF" w:rsidP="00B439EE">
      <w:pPr>
        <w:spacing w:line="276" w:lineRule="auto"/>
        <w:jc w:val="both"/>
        <w:rPr>
          <w:b/>
          <w:sz w:val="28"/>
        </w:rPr>
      </w:pPr>
    </w:p>
    <w:p w:rsidR="00A92ECF" w:rsidRPr="00A92ECF" w:rsidRDefault="00A92ECF" w:rsidP="00B439EE">
      <w:pPr>
        <w:spacing w:line="276" w:lineRule="auto"/>
        <w:jc w:val="both"/>
      </w:pPr>
      <w:r w:rsidRPr="00A92ECF">
        <w:t xml:space="preserve">Financimi </w:t>
      </w:r>
      <w:r w:rsidR="00B9095A">
        <w:t xml:space="preserve">nga huamarja ka të bëjë </w:t>
      </w:r>
      <w:r>
        <w:t xml:space="preserve"> me</w:t>
      </w:r>
      <w:r w:rsidR="006436FC">
        <w:t xml:space="preserve"> Marrëveshjen e Kredisë</w:t>
      </w:r>
      <w:r w:rsidR="006436FC" w:rsidRPr="00B5311D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të miratuar nga</w:t>
      </w:r>
      <w:r w:rsidR="006436FC" w:rsidRPr="00B5311D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Kuvendi i Kosovës</w:t>
      </w:r>
      <w:r w:rsidR="006436FC">
        <w:t xml:space="preserve"> sipas Ligjit Nr 06/L-</w:t>
      </w:r>
      <w:r w:rsidR="006436FC" w:rsidRPr="00466C60">
        <w:t>142</w:t>
      </w:r>
      <w:r w:rsidR="006436FC">
        <w:t>,</w:t>
      </w:r>
      <w:r w:rsidR="006436FC" w:rsidRPr="00C26C0A">
        <w:t xml:space="preserve"> </w:t>
      </w:r>
      <w:r w:rsidR="006436FC">
        <w:t>M</w:t>
      </w:r>
      <w:r w:rsidR="006436FC">
        <w:rPr>
          <w:rFonts w:eastAsia="Times New Roman"/>
          <w:bCs/>
          <w:lang w:val="en-US"/>
        </w:rPr>
        <w:t>arrëveshjes së K</w:t>
      </w:r>
      <w:r w:rsidR="006436FC" w:rsidRPr="00466C60">
        <w:rPr>
          <w:rFonts w:eastAsia="Times New Roman"/>
          <w:bCs/>
          <w:lang w:val="en-US"/>
        </w:rPr>
        <w:t xml:space="preserve">redisë ndërmjet </w:t>
      </w:r>
      <w:r w:rsidR="006436FC">
        <w:rPr>
          <w:rFonts w:eastAsia="Times New Roman"/>
          <w:bCs/>
          <w:lang w:val="en-US"/>
        </w:rPr>
        <w:t>R</w:t>
      </w:r>
      <w:r w:rsidR="006436FC" w:rsidRPr="00466C60">
        <w:rPr>
          <w:rFonts w:eastAsia="Times New Roman"/>
          <w:bCs/>
          <w:lang w:val="en-US"/>
        </w:rPr>
        <w:t>epublikës së</w:t>
      </w:r>
      <w:r w:rsidR="006436FC">
        <w:rPr>
          <w:rFonts w:eastAsia="Times New Roman"/>
          <w:bCs/>
          <w:lang w:val="en-US"/>
        </w:rPr>
        <w:t xml:space="preserve"> K</w:t>
      </w:r>
      <w:r w:rsidR="006436FC" w:rsidRPr="00466C60">
        <w:rPr>
          <w:rFonts w:eastAsia="Times New Roman"/>
          <w:bCs/>
          <w:lang w:val="en-US"/>
        </w:rPr>
        <w:t xml:space="preserve">osovës dhe </w:t>
      </w:r>
      <w:r w:rsidR="006436FC">
        <w:rPr>
          <w:rFonts w:eastAsia="Times New Roman"/>
          <w:bCs/>
          <w:lang w:val="en-US"/>
        </w:rPr>
        <w:t>U</w:t>
      </w:r>
      <w:r w:rsidR="006436FC" w:rsidRPr="00466C60">
        <w:rPr>
          <w:rFonts w:eastAsia="Times New Roman"/>
          <w:bCs/>
          <w:lang w:val="en-US"/>
        </w:rPr>
        <w:t xml:space="preserve">nicredit </w:t>
      </w:r>
      <w:r w:rsidR="006436FC">
        <w:rPr>
          <w:rFonts w:eastAsia="Times New Roman"/>
          <w:bCs/>
          <w:lang w:val="en-US"/>
        </w:rPr>
        <w:t>B</w:t>
      </w:r>
      <w:r w:rsidR="006436FC" w:rsidRPr="00466C60">
        <w:rPr>
          <w:rFonts w:eastAsia="Times New Roman"/>
          <w:bCs/>
          <w:lang w:val="en-US"/>
        </w:rPr>
        <w:t xml:space="preserve">ank </w:t>
      </w:r>
      <w:r w:rsidR="006436FC">
        <w:rPr>
          <w:rFonts w:eastAsia="Times New Roman"/>
          <w:bCs/>
          <w:lang w:val="en-US"/>
        </w:rPr>
        <w:t>A</w:t>
      </w:r>
      <w:r w:rsidR="006436FC" w:rsidRPr="00466C60">
        <w:rPr>
          <w:rFonts w:eastAsia="Times New Roman"/>
          <w:bCs/>
          <w:lang w:val="en-US"/>
        </w:rPr>
        <w:t xml:space="preserve">ustria </w:t>
      </w:r>
      <w:r w:rsidR="006436FC">
        <w:rPr>
          <w:rFonts w:eastAsia="Times New Roman"/>
          <w:bCs/>
          <w:lang w:val="en-US"/>
        </w:rPr>
        <w:t>AG</w:t>
      </w:r>
      <w:r w:rsidR="006436FC" w:rsidRPr="00466C60">
        <w:rPr>
          <w:rFonts w:eastAsia="Times New Roman"/>
          <w:bCs/>
          <w:lang w:val="en-US"/>
        </w:rPr>
        <w:t xml:space="preserve"> në lidhje me financimin e</w:t>
      </w:r>
      <w:r w:rsidR="006436FC">
        <w:rPr>
          <w:rFonts w:eastAsia="Times New Roman"/>
          <w:bCs/>
          <w:lang w:val="en-US"/>
        </w:rPr>
        <w:t xml:space="preserve"> </w:t>
      </w:r>
      <w:r w:rsidR="006436FC"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 w:rsidR="006436FC">
        <w:rPr>
          <w:rFonts w:eastAsia="Times New Roman"/>
          <w:bCs/>
          <w:lang w:val="en-US"/>
        </w:rPr>
        <w:t>S</w:t>
      </w:r>
      <w:r w:rsidR="006436FC" w:rsidRPr="00466C60">
        <w:rPr>
          <w:rFonts w:eastAsia="Times New Roman"/>
          <w:bCs/>
          <w:lang w:val="en-US"/>
        </w:rPr>
        <w:t>htimes</w:t>
      </w:r>
      <w:r w:rsidR="006436FC">
        <w:rPr>
          <w:rFonts w:eastAsia="Times New Roman"/>
          <w:bCs/>
          <w:lang w:val="en-US"/>
        </w:rPr>
        <w:t>, e publikuar në Gazetën Zyrtare të Qeverisë së Kosovës në shumën 2,385,000€</w:t>
      </w:r>
      <w:r w:rsidR="00B9095A">
        <w:rPr>
          <w:rFonts w:eastAsia="Times New Roman"/>
          <w:bCs/>
          <w:lang w:val="en-US"/>
        </w:rPr>
        <w:t xml:space="preserve"> e cila ne kete periudh te vitit 2020 nuk kemi pasur aktivitet.</w:t>
      </w:r>
    </w:p>
    <w:p w:rsidR="0031122B" w:rsidRDefault="0031122B" w:rsidP="00B439EE">
      <w:pPr>
        <w:spacing w:line="276" w:lineRule="auto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lastRenderedPageBreak/>
        <w:t>SHPENZIMET BUXHETORE</w:t>
      </w:r>
    </w:p>
    <w:p w:rsidR="00117B54" w:rsidRPr="00117B54" w:rsidRDefault="00117B54" w:rsidP="00117B5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 w:rsidR="00F82C90">
        <w:rPr>
          <w:b/>
          <w:sz w:val="28"/>
        </w:rPr>
        <w:t>r-mars 2020</w:t>
      </w:r>
    </w:p>
    <w:p w:rsidR="00117B54" w:rsidRDefault="00117B54">
      <w:pPr>
        <w:spacing w:line="276" w:lineRule="auto"/>
        <w:jc w:val="both"/>
        <w:rPr>
          <w:b/>
          <w:sz w:val="28"/>
        </w:rPr>
      </w:pPr>
    </w:p>
    <w:p w:rsidR="00117B54" w:rsidRDefault="00117B54">
      <w:pPr>
        <w:spacing w:line="276" w:lineRule="auto"/>
        <w:jc w:val="both"/>
        <w:rPr>
          <w:sz w:val="28"/>
        </w:rPr>
      </w:pPr>
    </w:p>
    <w:p w:rsidR="004674B8" w:rsidRPr="00A911EA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570198">
        <w:rPr>
          <w:b/>
        </w:rPr>
        <w:t>1,141,496.55</w:t>
      </w:r>
      <w:r w:rsidR="00A94703" w:rsidRPr="007841F6">
        <w:rPr>
          <w:b/>
        </w:rPr>
        <w:t xml:space="preserve">€ ose </w:t>
      </w:r>
      <w:r w:rsidR="00570198">
        <w:rPr>
          <w:b/>
        </w:rPr>
        <w:t>12.21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20</w:t>
      </w:r>
      <w:r>
        <w:t>,</w:t>
      </w:r>
      <w:r w:rsidR="00C6536E">
        <w:t xml:space="preserve"> ndërsa shpenzoj </w:t>
      </w:r>
      <w:r w:rsidR="00570198">
        <w:rPr>
          <w:b/>
        </w:rPr>
        <w:t>47.71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:rsidR="0087162B" w:rsidRDefault="0087162B">
      <w:pPr>
        <w:spacing w:line="276" w:lineRule="auto"/>
        <w:jc w:val="both"/>
      </w:pPr>
    </w:p>
    <w:p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570198">
        <w:t>20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BA31D3">
        <w:t xml:space="preserve">n janar-mars </w:t>
      </w:r>
      <w:r w:rsidR="00C6536E">
        <w:t>-</w:t>
      </w:r>
      <w:r w:rsidR="00BA31D3">
        <w:t>TM1 20</w:t>
      </w:r>
      <w:r w:rsidR="00570198">
        <w:t>20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20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>
        <w:t>n janar-mars 20</w:t>
      </w:r>
      <w:r w:rsidR="00570198">
        <w:t>20</w:t>
      </w:r>
      <w:r>
        <w:t xml:space="preserve"> është në shum</w:t>
      </w:r>
      <w:r w:rsidR="00644FBB">
        <w:t>ë</w:t>
      </w:r>
      <w:r w:rsidR="00D73046">
        <w:t>n</w:t>
      </w:r>
      <w:r w:rsidR="00E42F98">
        <w:t xml:space="preserve"> 1,</w:t>
      </w:r>
      <w:r w:rsidR="00570198">
        <w:t>141</w:t>
      </w:r>
      <w:r w:rsidR="00ED3751">
        <w:t>,</w:t>
      </w:r>
      <w:r w:rsidR="00570198">
        <w:t>496</w:t>
      </w:r>
      <w:r w:rsidR="00ED3751">
        <w:t>.</w:t>
      </w:r>
      <w:r w:rsidR="00570198">
        <w:t>55</w:t>
      </w:r>
      <w:r w:rsidR="00E42F98">
        <w:t>€ apo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 xml:space="preserve">n </w:t>
      </w:r>
      <w:r w:rsidR="007C7842">
        <w:t>12.</w:t>
      </w:r>
      <w:r w:rsidR="00570198">
        <w:t>21</w:t>
      </w:r>
      <w:r w:rsidR="00E42F98"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570198">
        <w:t>15,23</w:t>
      </w:r>
      <w:r w:rsidR="00B47E3D" w:rsidRPr="00B47E3D">
        <w:t>%</w:t>
      </w:r>
      <w:r w:rsidR="00CF4D43"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570198">
        <w:t>0.38</w:t>
      </w:r>
      <w:r w:rsidR="00B47E3D" w:rsidRPr="00B47E3D">
        <w:t>%</w:t>
      </w:r>
      <w:r w:rsidR="00E770AB">
        <w:t>,</w:t>
      </w:r>
      <w:r w:rsidR="00B47E3D" w:rsidRPr="00B47E3D">
        <w:t xml:space="preserve"> nd</w:t>
      </w:r>
      <w:r w:rsidR="004B52A5">
        <w:t>ërsa 22-THV ende nuk janë</w:t>
      </w:r>
      <w:r w:rsidR="00B47E3D" w:rsidRPr="00B47E3D">
        <w:t xml:space="preserve"> realizuar shpenzime p</w:t>
      </w:r>
      <w:r w:rsidR="004B52A5">
        <w:t>ë</w:t>
      </w:r>
      <w:r w:rsidR="00B47E3D" w:rsidRPr="00B47E3D">
        <w:t>r shkak t</w:t>
      </w:r>
      <w:r w:rsidR="004B52A5">
        <w:t>ë</w:t>
      </w:r>
      <w:r w:rsidR="00B47E3D" w:rsidRPr="00B47E3D">
        <w:t xml:space="preserve"> proceseve administrative t</w:t>
      </w:r>
      <w:r w:rsidR="004B52A5">
        <w:t>ë</w:t>
      </w:r>
      <w:r w:rsidR="00B47E3D" w:rsidRPr="00B47E3D">
        <w:t xml:space="preserve"> fillim vitit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22179D">
        <w:t xml:space="preserve">nuk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B47E3D" w:rsidRPr="00ED3751">
        <w:t xml:space="preserve"> realiz</w:t>
      </w:r>
      <w:r w:rsidR="0022179D">
        <w:t>ua</w:t>
      </w:r>
      <w:r w:rsidR="00B47E3D" w:rsidRPr="00ED3751">
        <w:t xml:space="preserve"> shpenzimi .</w:t>
      </w:r>
    </w:p>
    <w:p w:rsidR="00FF663F" w:rsidRDefault="00ED3751" w:rsidP="00FF663F">
      <w:pPr>
        <w:spacing w:line="276" w:lineRule="auto"/>
        <w:ind w:left="720"/>
        <w:jc w:val="both"/>
      </w:pPr>
      <w:r>
        <w:t>,</w:t>
      </w:r>
    </w:p>
    <w:p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22179D">
        <w:rPr>
          <w:b/>
        </w:rPr>
        <w:t>n janar-mars TM1 2020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D3751">
        <w:t xml:space="preserve"> janar-mars 20</w:t>
      </w:r>
      <w:r w:rsidR="0022179D">
        <w:t>20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22179D">
        <w:t>2,392,676.62</w:t>
      </w:r>
      <w:r>
        <w:t>€ dhe jan</w:t>
      </w:r>
      <w:r w:rsidR="003E656E">
        <w:t>ë</w:t>
      </w:r>
      <w:r>
        <w:t xml:space="preserve"> shpenzuar </w:t>
      </w:r>
      <w:r w:rsidR="0022179D">
        <w:t>1,141,496.55</w:t>
      </w:r>
      <w:r>
        <w:t>€</w:t>
      </w:r>
      <w:r w:rsidR="003106DD">
        <w:t xml:space="preserve"> </w:t>
      </w:r>
      <w:r>
        <w:t xml:space="preserve"> apo shprehur n</w:t>
      </w:r>
      <w:r w:rsidR="003E656E">
        <w:t>ë</w:t>
      </w:r>
      <w:r>
        <w:t xml:space="preserve"> % me </w:t>
      </w:r>
      <w:r w:rsidR="0022179D">
        <w:t>47,71</w:t>
      </w:r>
      <w:r>
        <w:t xml:space="preserve">%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:rsidR="003106DD" w:rsidRDefault="003106DD" w:rsidP="003106DD">
      <w:pPr>
        <w:spacing w:line="276" w:lineRule="auto"/>
        <w:jc w:val="both"/>
      </w:pPr>
    </w:p>
    <w:p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janar-mars 2020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:rsidR="00FF663F" w:rsidRPr="00B47E3D" w:rsidRDefault="00FF663F" w:rsidP="00FF663F">
      <w:pPr>
        <w:spacing w:line="276" w:lineRule="auto"/>
        <w:ind w:left="720"/>
        <w:jc w:val="both"/>
      </w:pPr>
    </w:p>
    <w:p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:rsidR="003106DD" w:rsidRPr="004C5FB4" w:rsidRDefault="003106DD" w:rsidP="003106DD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lastRenderedPageBreak/>
        <w:t>Tabela 4  Realizimi i Buxhetit për periudhen janar-mars 20</w:t>
      </w:r>
      <w:r w:rsidR="002877A5">
        <w:rPr>
          <w:i/>
          <w:sz w:val="22"/>
          <w:szCs w:val="22"/>
        </w:rPr>
        <w:t>20</w:t>
      </w:r>
      <w:r w:rsidR="00A911EA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Shtime</w:t>
      </w:r>
    </w:p>
    <w:p w:rsidR="00CE7CB3" w:rsidRDefault="00CE7CB3" w:rsidP="003106DD">
      <w:pPr>
        <w:rPr>
          <w:i/>
          <w:sz w:val="18"/>
          <w:szCs w:val="18"/>
        </w:rPr>
      </w:pPr>
    </w:p>
    <w:p w:rsidR="00CE7CB3" w:rsidRDefault="00CE7CB3" w:rsidP="003106DD">
      <w:pPr>
        <w:rPr>
          <w:i/>
          <w:sz w:val="18"/>
          <w:szCs w:val="18"/>
        </w:rPr>
      </w:pPr>
    </w:p>
    <w:tbl>
      <w:tblPr>
        <w:tblStyle w:val="GridTable5Dark-Accent61"/>
        <w:tblW w:w="14683" w:type="dxa"/>
        <w:tblLook w:val="04A0"/>
      </w:tblPr>
      <w:tblGrid>
        <w:gridCol w:w="3857"/>
        <w:gridCol w:w="1267"/>
        <w:gridCol w:w="1354"/>
        <w:gridCol w:w="1866"/>
        <w:gridCol w:w="1433"/>
        <w:gridCol w:w="1254"/>
        <w:gridCol w:w="1523"/>
        <w:gridCol w:w="2129"/>
      </w:tblGrid>
      <w:tr w:rsidR="00CE7CB3" w:rsidRPr="00CE7CB3" w:rsidTr="002877A5">
        <w:trPr>
          <w:cnfStyle w:val="100000000000"/>
          <w:trHeight w:val="288"/>
        </w:trPr>
        <w:tc>
          <w:tcPr>
            <w:cnfStyle w:val="001000000000"/>
            <w:tcW w:w="3857" w:type="dxa"/>
            <w:vAlign w:val="center"/>
            <w:hideMark/>
          </w:tcPr>
          <w:p w:rsidR="00CE7CB3" w:rsidRPr="00CE7CB3" w:rsidRDefault="00CE7CB3" w:rsidP="002877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Përshkrimi</w:t>
            </w:r>
          </w:p>
        </w:tc>
        <w:tc>
          <w:tcPr>
            <w:tcW w:w="1267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Aktual</w:t>
            </w:r>
          </w:p>
        </w:tc>
        <w:tc>
          <w:tcPr>
            <w:tcW w:w="1354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Allocated</w:t>
            </w:r>
          </w:p>
        </w:tc>
        <w:tc>
          <w:tcPr>
            <w:tcW w:w="1866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 paalokuar</w:t>
            </w:r>
          </w:p>
        </w:tc>
        <w:tc>
          <w:tcPr>
            <w:tcW w:w="1433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Aktuali</w:t>
            </w:r>
          </w:p>
        </w:tc>
        <w:tc>
          <w:tcPr>
            <w:tcW w:w="1254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Zotim /Obligimet në pritje</w:t>
            </w:r>
          </w:p>
        </w:tc>
        <w:tc>
          <w:tcPr>
            <w:tcW w:w="1523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nga Parashikimi vjetor 2020</w:t>
            </w:r>
          </w:p>
        </w:tc>
        <w:tc>
          <w:tcPr>
            <w:tcW w:w="2129" w:type="dxa"/>
            <w:vAlign w:val="center"/>
            <w:hideMark/>
          </w:tcPr>
          <w:p w:rsidR="00CE7CB3" w:rsidRPr="00CE7CB3" w:rsidRDefault="00CE7CB3" w:rsidP="002877A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ne raport me Alokimin e periudhes TM1 2020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RESP / CAT / SUBCL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B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E=(C/A)*100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F=(C/B)*100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617 SHTIME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9,348,588.05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2,392,676.62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6,955,911.43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1,141,496.55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39,019.06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12.21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47.71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04 FINANCIMET NGA HUAMARRJET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17,247.75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17,247.75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17,247.75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17,247.75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ind w:right="-49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06 F</w:t>
            </w: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INANC.HUAMARR.PER.KLAUZ.INVEST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1,190,000.00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1,190,000.00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1,190,000.00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1,190,000.00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10 BUXHETI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7,478,724.05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2,308,124.48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5,170,599.57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1,138,976.55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39,019.06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15.23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49.35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4,196,348.00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1,031,479.48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3,164,868.52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1,031,479.48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24.58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639,872.00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319,936.00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319,936.00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55,986.77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39,019.06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8.75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17.50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14 SHPENZIME KOMUNALE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220,000.00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110,000.00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110,000.00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12,830.20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5.83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11.66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1,864,081.05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846,709.00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1,017,372.05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38,680.10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2.08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4.57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38 REZERVAT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558,423.00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558,423.00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21 TE HYRAT VETANAKE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658,401.01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80,336.90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578,064.11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2,520.00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0.38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3.14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23,000.00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4,033.33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18,966.67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250,128.00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32,854.94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217,273.06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2,520.00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1.01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7.67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16,380.48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133,619.52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235,273.01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27,068.15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208,204.86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32 GRANTE TJERA TE JASHTME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4,090.25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4,090.25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</w:t>
            </w: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MALLRA DHE SHËRBIME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4,090.25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4,090.25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44 QEVERIA BRITANEZE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</w:t>
            </w: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PASURITË JOFINANCIARE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93 COUNCIL OF EUROPE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cnfStyle w:val="000000100000"/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CE7CB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E7CB3" w:rsidRPr="00CE7CB3" w:rsidTr="00CE7CB3">
        <w:trPr>
          <w:trHeight w:val="288"/>
        </w:trPr>
        <w:tc>
          <w:tcPr>
            <w:cnfStyle w:val="001000000000"/>
            <w:tcW w:w="3857" w:type="dxa"/>
            <w:hideMark/>
          </w:tcPr>
          <w:p w:rsidR="00CE7CB3" w:rsidRPr="00CE7CB3" w:rsidRDefault="00CE7CB3" w:rsidP="00CE7C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267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9,348,588.05</w:t>
            </w:r>
          </w:p>
        </w:tc>
        <w:tc>
          <w:tcPr>
            <w:tcW w:w="13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2,392,676.62</w:t>
            </w:r>
          </w:p>
        </w:tc>
        <w:tc>
          <w:tcPr>
            <w:tcW w:w="1866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6,955,911.43</w:t>
            </w:r>
          </w:p>
        </w:tc>
        <w:tc>
          <w:tcPr>
            <w:tcW w:w="143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1,141,496.55</w:t>
            </w:r>
          </w:p>
        </w:tc>
        <w:tc>
          <w:tcPr>
            <w:tcW w:w="1254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39,019.06</w:t>
            </w:r>
          </w:p>
        </w:tc>
        <w:tc>
          <w:tcPr>
            <w:tcW w:w="1523" w:type="dxa"/>
            <w:hideMark/>
          </w:tcPr>
          <w:p w:rsidR="00CE7CB3" w:rsidRPr="00CE7CB3" w:rsidRDefault="00CE7CB3" w:rsidP="00CE7CB3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12.21</w:t>
            </w:r>
          </w:p>
        </w:tc>
        <w:tc>
          <w:tcPr>
            <w:tcW w:w="2129" w:type="dxa"/>
            <w:hideMark/>
          </w:tcPr>
          <w:p w:rsidR="00CE7CB3" w:rsidRPr="00CE7CB3" w:rsidRDefault="00CE7CB3" w:rsidP="00CE7CB3">
            <w:pPr>
              <w:tabs>
                <w:tab w:val="left" w:pos="1676"/>
              </w:tabs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C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47.71</w:t>
            </w:r>
          </w:p>
        </w:tc>
      </w:tr>
    </w:tbl>
    <w:p w:rsidR="00CE7CB3" w:rsidRPr="00CE7CB3" w:rsidRDefault="00CE7CB3" w:rsidP="003106DD">
      <w:pPr>
        <w:rPr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Default="00B67971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C624AB" w:rsidRDefault="004C5FB4">
      <w:pPr>
        <w:rPr>
          <w:b/>
          <w:i/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janar-mars 20</w:t>
      </w:r>
      <w:r w:rsidR="002877A5">
        <w:rPr>
          <w:i/>
          <w:sz w:val="22"/>
          <w:szCs w:val="22"/>
        </w:rPr>
        <w:t>20</w:t>
      </w:r>
      <w:r w:rsidRPr="004C5FB4">
        <w:rPr>
          <w:i/>
          <w:sz w:val="22"/>
          <w:szCs w:val="22"/>
        </w:rPr>
        <w:t xml:space="preserve"> ne total sipas kategorive ekonomike, programeve 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38100F" w:rsidRPr="002877A5">
        <w:rPr>
          <w:b/>
          <w:i/>
          <w:sz w:val="22"/>
          <w:szCs w:val="22"/>
        </w:rPr>
        <w:t>Duke mos perfshire huamarrjen nga kredia.</w:t>
      </w:r>
    </w:p>
    <w:p w:rsidR="002D76B3" w:rsidRPr="004C5FB4" w:rsidRDefault="002D76B3">
      <w:pPr>
        <w:rPr>
          <w:sz w:val="22"/>
          <w:szCs w:val="22"/>
        </w:rPr>
      </w:pPr>
    </w:p>
    <w:tbl>
      <w:tblPr>
        <w:tblW w:w="9036" w:type="dxa"/>
        <w:tblInd w:w="95" w:type="dxa"/>
        <w:tblLook w:val="04A0"/>
      </w:tblPr>
      <w:tblGrid>
        <w:gridCol w:w="396"/>
        <w:gridCol w:w="2760"/>
        <w:gridCol w:w="1600"/>
        <w:gridCol w:w="1600"/>
        <w:gridCol w:w="1380"/>
        <w:gridCol w:w="1300"/>
      </w:tblGrid>
      <w:tr w:rsidR="002877A5" w:rsidRPr="002877A5" w:rsidTr="002877A5">
        <w:trPr>
          <w:trHeight w:val="51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bookmarkStart w:id="1" w:name="RANGE!A1:F122"/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  <w:bookmarkEnd w:id="1"/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(10,21,22,donatorët)</w:t>
            </w: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2877A5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Paga dhe Mëditje</w:t>
            </w:r>
          </w:p>
        </w:tc>
      </w:tr>
      <w:tr w:rsidR="002877A5" w:rsidRPr="002877A5" w:rsidTr="002877A5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95,495.00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23,339.88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23,339.88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24.44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79,366.00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19,645.93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19,645.93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24.75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184,335.00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38,765.60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38,765.60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21.03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42,274.00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9,223.03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9,223.03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21.82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73,352.00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18,061.05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18,061.05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24.62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84,785.00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25,338.78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25,338.78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29.89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15,537.00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4,136.53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4,136.53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26.62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32,700.00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8,083.44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8,083.44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24.72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67,426.00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16,674.33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16,674.33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24.73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21,185.00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5,134.59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5,134.59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24.24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726,774.00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184,345.83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176,479.17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24.28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54,220.00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14,460.87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14,460.87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26.67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2,741,899.00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672,136.18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672,136.18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24.51</w:t>
            </w:r>
          </w:p>
        </w:tc>
      </w:tr>
      <w:tr w:rsidR="002877A5" w:rsidRPr="002877A5" w:rsidTr="002877A5">
        <w:trPr>
          <w:trHeight w:val="499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4,219,348.00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1,039,346.04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1,031,479.38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24.45</w:t>
            </w:r>
          </w:p>
        </w:tc>
      </w:tr>
      <w:tr w:rsidR="002877A5" w:rsidRPr="002877A5" w:rsidTr="002877A5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877A5" w:rsidRPr="002877A5" w:rsidTr="002877A5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2877A5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Mallra dhe Shërbime</w:t>
            </w:r>
          </w:p>
        </w:tc>
      </w:tr>
      <w:tr w:rsidR="002877A5" w:rsidRPr="002877A5" w:rsidTr="002877A5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264.79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3.31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5,400.00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2,700.00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552.00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10.22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277,215.00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95,449.50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21,168.10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7.64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53,826.00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18,329.66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1,200.00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2.23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8,742.00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4,371.00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9,282.00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4,641.00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652.43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7.03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382.00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191.00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5,924.00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2,962.00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7,203.00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3,601.50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2,327.00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1,163.50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281,425.00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122,965.63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25,540.08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9.08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18,350.00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9,175.00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211,924.00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87,435.40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9,129.37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4.31</w:t>
            </w:r>
          </w:p>
        </w:tc>
      </w:tr>
      <w:tr w:rsidR="002877A5" w:rsidRPr="002877A5" w:rsidTr="002877A5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890,000.00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356,985.19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58,506.77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6.57 </w:t>
            </w:r>
          </w:p>
        </w:tc>
      </w:tr>
      <w:tr w:rsidR="002877A5" w:rsidRPr="002877A5" w:rsidTr="002877A5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6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(10,21,22)</w:t>
            </w: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2877A5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Komunale</w:t>
            </w:r>
          </w:p>
        </w:tc>
      </w:tr>
      <w:tr w:rsidR="002877A5" w:rsidRPr="002877A5" w:rsidTr="002877A5">
        <w:trPr>
          <w:trHeight w:val="9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periudha Janar-Mars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15,722.00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7,861.00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829.20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5.27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9,073.91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14.64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2,961.00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1,480.50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166.36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5.62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28,900.00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14,450.00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915.98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3.17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453.16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6.47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103,417.00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51,708.50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1,391.59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1.35 </w:t>
            </w:r>
          </w:p>
        </w:tc>
      </w:tr>
      <w:tr w:rsidR="002877A5" w:rsidRPr="002877A5" w:rsidTr="002877A5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220,000.00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110,000.00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12,830.20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5.83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1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 donatorët)</w:t>
            </w:r>
          </w:p>
        </w:tc>
      </w:tr>
      <w:tr w:rsidR="002877A5" w:rsidRPr="002877A5" w:rsidTr="002877A5">
        <w:trPr>
          <w:trHeight w:val="3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2877A5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Subvencione dhe Transfere</w:t>
            </w:r>
          </w:p>
        </w:tc>
      </w:tr>
      <w:tr w:rsidR="002877A5" w:rsidRPr="002877A5" w:rsidTr="002877A5">
        <w:trPr>
          <w:trHeight w:val="12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2877A5" w:rsidRPr="002877A5" w:rsidTr="002877A5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6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1,241.66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39,766.00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3,763.83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50,234.00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6,333.33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33,500.00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2,041.66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150,000.00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16,380.48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-  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2877A5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Kapitale</w:t>
            </w:r>
          </w:p>
        </w:tc>
      </w:tr>
      <w:tr w:rsidR="002877A5" w:rsidRPr="002877A5" w:rsidTr="002877A5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283,000.00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138,500.00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28,280.10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9.99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CE42D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CE42D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125,000.00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1,020,451.00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465,719.91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10,400.00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1.02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188,000.00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94,000.00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D67631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183,490.00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91,745.00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877A5" w:rsidRPr="002877A5" w:rsidTr="002877A5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1,899,941.00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869,964.91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38,680.10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2.04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1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  <w:t>REKAPITULIM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</w:p>
        </w:tc>
      </w:tr>
      <w:tr w:rsidR="002877A5" w:rsidRPr="002877A5" w:rsidTr="002877A5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2877A5" w:rsidRPr="002877A5" w:rsidRDefault="002877A5" w:rsidP="002877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103,495.00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27,339.88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23,604.67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22.81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84,766.00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22,345.93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20,197.93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23.83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517,272.00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162,076.10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60,762.90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11.75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441,100.00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197,052.69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47,777.04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10.83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82,094.00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22,432.05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18,061.05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22.00 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97,028.00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31,460.28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26,157.57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26.96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22,419.00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5,569.19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4,136.53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18.45 </w:t>
            </w:r>
          </w:p>
        </w:tc>
      </w:tr>
      <w:tr w:rsidR="002877A5" w:rsidRPr="002877A5" w:rsidTr="002877A5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78,390.00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14,809.27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8,083.44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10.31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153,388.00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38,736.09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5,134.59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3.35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1,090,204.00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483,557.74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27,074.33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2.48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1,147,333.00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358,094.79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202,935.23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17.69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301,070.00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124,135.87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14,914.03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4.95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3,260,730.00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905,066.74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682,657.14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21.67 </w:t>
            </w:r>
          </w:p>
        </w:tc>
      </w:tr>
      <w:tr w:rsidR="002877A5" w:rsidRPr="002877A5" w:rsidTr="002877A5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Rezerva ne gjitha Programet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558,423.00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  <w:r w:rsidRPr="002877A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2877A5" w:rsidRPr="002877A5" w:rsidTr="002877A5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7,937,712.00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2,392,676.62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F82C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1,141,496.</w:t>
            </w:r>
            <w:r w:rsidR="00F82C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77A5" w:rsidRPr="002877A5" w:rsidRDefault="002877A5" w:rsidP="00D6763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77A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14.38 </w:t>
            </w: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877A5" w:rsidRPr="002877A5" w:rsidTr="002877A5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A5" w:rsidRPr="002877A5" w:rsidRDefault="002877A5" w:rsidP="002877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219C5" w:rsidRDefault="006219C5" w:rsidP="007C7842">
      <w:pPr>
        <w:spacing w:line="276" w:lineRule="auto"/>
        <w:jc w:val="both"/>
        <w:rPr>
          <w:sz w:val="28"/>
          <w:szCs w:val="2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F6" w:rsidRDefault="003045F6">
      <w:r>
        <w:separator/>
      </w:r>
    </w:p>
    <w:p w:rsidR="003045F6" w:rsidRDefault="003045F6"/>
  </w:endnote>
  <w:endnote w:type="continuationSeparator" w:id="1">
    <w:p w:rsidR="003045F6" w:rsidRDefault="003045F6">
      <w:r>
        <w:continuationSeparator/>
      </w:r>
    </w:p>
    <w:p w:rsidR="003045F6" w:rsidRDefault="003045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D1" w:rsidRDefault="00AE22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42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2D1" w:rsidRDefault="00CE42D1">
    <w:pPr>
      <w:pStyle w:val="Footer"/>
      <w:ind w:right="360"/>
    </w:pPr>
  </w:p>
  <w:p w:rsidR="00CE42D1" w:rsidRDefault="00CE42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D1" w:rsidRPr="00131198" w:rsidRDefault="00CE42D1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janar-mars 2020-komuna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AE2292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AE2292" w:rsidRPr="00131198">
      <w:rPr>
        <w:sz w:val="18"/>
        <w:szCs w:val="18"/>
      </w:rPr>
      <w:fldChar w:fldCharType="separate"/>
    </w:r>
    <w:r w:rsidR="00977BB0" w:rsidRPr="00977BB0">
      <w:rPr>
        <w:rFonts w:ascii="Cambria" w:hAnsi="Cambria" w:cs="Cambria"/>
        <w:noProof/>
        <w:sz w:val="18"/>
        <w:szCs w:val="18"/>
      </w:rPr>
      <w:t>5</w:t>
    </w:r>
    <w:r w:rsidR="00AE2292" w:rsidRPr="00131198">
      <w:rPr>
        <w:sz w:val="18"/>
        <w:szCs w:val="18"/>
      </w:rPr>
      <w:fldChar w:fldCharType="end"/>
    </w:r>
    <w:r w:rsidR="00AE2292" w:rsidRPr="00AE2292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AE2292" w:rsidRPr="00AE2292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AE2292" w:rsidRPr="00AE2292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F6" w:rsidRDefault="003045F6">
      <w:r>
        <w:separator/>
      </w:r>
    </w:p>
    <w:p w:rsidR="003045F6" w:rsidRDefault="003045F6"/>
  </w:footnote>
  <w:footnote w:type="continuationSeparator" w:id="1">
    <w:p w:rsidR="003045F6" w:rsidRDefault="003045F6">
      <w:r>
        <w:continuationSeparator/>
      </w:r>
    </w:p>
    <w:p w:rsidR="003045F6" w:rsidRDefault="003045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22E2C"/>
    <w:rsid w:val="00030B65"/>
    <w:rsid w:val="0003303A"/>
    <w:rsid w:val="00034E06"/>
    <w:rsid w:val="00052212"/>
    <w:rsid w:val="00064735"/>
    <w:rsid w:val="0006491F"/>
    <w:rsid w:val="0007120C"/>
    <w:rsid w:val="000855D3"/>
    <w:rsid w:val="0009620A"/>
    <w:rsid w:val="00096386"/>
    <w:rsid w:val="000970CE"/>
    <w:rsid w:val="000B7F8C"/>
    <w:rsid w:val="000D787D"/>
    <w:rsid w:val="000F3E97"/>
    <w:rsid w:val="000F7287"/>
    <w:rsid w:val="00101631"/>
    <w:rsid w:val="0010572F"/>
    <w:rsid w:val="0011232D"/>
    <w:rsid w:val="00117B54"/>
    <w:rsid w:val="00130C96"/>
    <w:rsid w:val="00131198"/>
    <w:rsid w:val="00136A68"/>
    <w:rsid w:val="00142129"/>
    <w:rsid w:val="0014331B"/>
    <w:rsid w:val="00145FA8"/>
    <w:rsid w:val="00155AE3"/>
    <w:rsid w:val="00165AF9"/>
    <w:rsid w:val="00174366"/>
    <w:rsid w:val="00177544"/>
    <w:rsid w:val="001819D4"/>
    <w:rsid w:val="001A2CAA"/>
    <w:rsid w:val="001B224E"/>
    <w:rsid w:val="001C0975"/>
    <w:rsid w:val="001C49D0"/>
    <w:rsid w:val="001D0339"/>
    <w:rsid w:val="001D3C1F"/>
    <w:rsid w:val="001D6508"/>
    <w:rsid w:val="001D6836"/>
    <w:rsid w:val="001E115D"/>
    <w:rsid w:val="002060DF"/>
    <w:rsid w:val="002143A7"/>
    <w:rsid w:val="00217296"/>
    <w:rsid w:val="0022179D"/>
    <w:rsid w:val="00231481"/>
    <w:rsid w:val="0023194E"/>
    <w:rsid w:val="00242783"/>
    <w:rsid w:val="002458D2"/>
    <w:rsid w:val="00247AAC"/>
    <w:rsid w:val="00262C19"/>
    <w:rsid w:val="00283172"/>
    <w:rsid w:val="002877A5"/>
    <w:rsid w:val="002963B4"/>
    <w:rsid w:val="002A47C0"/>
    <w:rsid w:val="002A6A7D"/>
    <w:rsid w:val="002A7899"/>
    <w:rsid w:val="002B34B2"/>
    <w:rsid w:val="002B697B"/>
    <w:rsid w:val="002B733D"/>
    <w:rsid w:val="002D76B3"/>
    <w:rsid w:val="003045F6"/>
    <w:rsid w:val="003106DD"/>
    <w:rsid w:val="0031122B"/>
    <w:rsid w:val="00322B3B"/>
    <w:rsid w:val="00363A08"/>
    <w:rsid w:val="00364C15"/>
    <w:rsid w:val="00373410"/>
    <w:rsid w:val="0038100F"/>
    <w:rsid w:val="00384E8E"/>
    <w:rsid w:val="00386696"/>
    <w:rsid w:val="003A4B2B"/>
    <w:rsid w:val="003B54E5"/>
    <w:rsid w:val="003B6AAF"/>
    <w:rsid w:val="003C0133"/>
    <w:rsid w:val="003E3E00"/>
    <w:rsid w:val="003E656E"/>
    <w:rsid w:val="003F5F0C"/>
    <w:rsid w:val="003F7101"/>
    <w:rsid w:val="004072A8"/>
    <w:rsid w:val="004169CA"/>
    <w:rsid w:val="00431259"/>
    <w:rsid w:val="004329CC"/>
    <w:rsid w:val="00434D1E"/>
    <w:rsid w:val="00453AF3"/>
    <w:rsid w:val="004634E8"/>
    <w:rsid w:val="004674B8"/>
    <w:rsid w:val="00473818"/>
    <w:rsid w:val="00476A64"/>
    <w:rsid w:val="0047739A"/>
    <w:rsid w:val="004823EF"/>
    <w:rsid w:val="00487BC8"/>
    <w:rsid w:val="004B338C"/>
    <w:rsid w:val="004B52A5"/>
    <w:rsid w:val="004B6043"/>
    <w:rsid w:val="004B67D1"/>
    <w:rsid w:val="004C5FB4"/>
    <w:rsid w:val="004D0248"/>
    <w:rsid w:val="004D6A22"/>
    <w:rsid w:val="004E7252"/>
    <w:rsid w:val="004F43E3"/>
    <w:rsid w:val="004F6934"/>
    <w:rsid w:val="004F7ADD"/>
    <w:rsid w:val="00502CFC"/>
    <w:rsid w:val="005070EF"/>
    <w:rsid w:val="00507C93"/>
    <w:rsid w:val="00511028"/>
    <w:rsid w:val="0052727A"/>
    <w:rsid w:val="0053215A"/>
    <w:rsid w:val="00545EBA"/>
    <w:rsid w:val="00552E98"/>
    <w:rsid w:val="00565E7B"/>
    <w:rsid w:val="00567EE3"/>
    <w:rsid w:val="00570198"/>
    <w:rsid w:val="005732B4"/>
    <w:rsid w:val="005913F9"/>
    <w:rsid w:val="00596E2E"/>
    <w:rsid w:val="005A43DF"/>
    <w:rsid w:val="005B21E5"/>
    <w:rsid w:val="005B4EC9"/>
    <w:rsid w:val="005C510E"/>
    <w:rsid w:val="006037EB"/>
    <w:rsid w:val="006046AB"/>
    <w:rsid w:val="0061750E"/>
    <w:rsid w:val="006219C5"/>
    <w:rsid w:val="00623548"/>
    <w:rsid w:val="0062624A"/>
    <w:rsid w:val="006305EA"/>
    <w:rsid w:val="0063568C"/>
    <w:rsid w:val="00640600"/>
    <w:rsid w:val="006436FC"/>
    <w:rsid w:val="00644FBB"/>
    <w:rsid w:val="00647A67"/>
    <w:rsid w:val="006514E6"/>
    <w:rsid w:val="00655444"/>
    <w:rsid w:val="006709ED"/>
    <w:rsid w:val="006746FF"/>
    <w:rsid w:val="006752BF"/>
    <w:rsid w:val="0068454F"/>
    <w:rsid w:val="006A1D39"/>
    <w:rsid w:val="006A7B1C"/>
    <w:rsid w:val="006B60A9"/>
    <w:rsid w:val="006C6B40"/>
    <w:rsid w:val="006C6DCE"/>
    <w:rsid w:val="006E2BA2"/>
    <w:rsid w:val="006E76E7"/>
    <w:rsid w:val="00707CFB"/>
    <w:rsid w:val="007508EE"/>
    <w:rsid w:val="007600A7"/>
    <w:rsid w:val="0077010C"/>
    <w:rsid w:val="00777232"/>
    <w:rsid w:val="007826B3"/>
    <w:rsid w:val="007841F6"/>
    <w:rsid w:val="0079595C"/>
    <w:rsid w:val="0079765B"/>
    <w:rsid w:val="007A01AE"/>
    <w:rsid w:val="007A3CF8"/>
    <w:rsid w:val="007B1AE3"/>
    <w:rsid w:val="007C70CF"/>
    <w:rsid w:val="007C7842"/>
    <w:rsid w:val="007D7C29"/>
    <w:rsid w:val="007E7710"/>
    <w:rsid w:val="00807826"/>
    <w:rsid w:val="00813DAC"/>
    <w:rsid w:val="008251E6"/>
    <w:rsid w:val="0087162B"/>
    <w:rsid w:val="00892F58"/>
    <w:rsid w:val="00897049"/>
    <w:rsid w:val="008A0E39"/>
    <w:rsid w:val="008B034E"/>
    <w:rsid w:val="008C0ECC"/>
    <w:rsid w:val="008C1941"/>
    <w:rsid w:val="008C56CB"/>
    <w:rsid w:val="008C67E5"/>
    <w:rsid w:val="008C6CE6"/>
    <w:rsid w:val="008E1397"/>
    <w:rsid w:val="008E54D9"/>
    <w:rsid w:val="008E78E7"/>
    <w:rsid w:val="008F21F8"/>
    <w:rsid w:val="00924415"/>
    <w:rsid w:val="00941240"/>
    <w:rsid w:val="00946E59"/>
    <w:rsid w:val="00947CD8"/>
    <w:rsid w:val="009511EE"/>
    <w:rsid w:val="00955132"/>
    <w:rsid w:val="00957C05"/>
    <w:rsid w:val="00977BB0"/>
    <w:rsid w:val="0098243C"/>
    <w:rsid w:val="009C2D49"/>
    <w:rsid w:val="009C40DB"/>
    <w:rsid w:val="009C4363"/>
    <w:rsid w:val="009C5668"/>
    <w:rsid w:val="009D5149"/>
    <w:rsid w:val="009D61FF"/>
    <w:rsid w:val="009F298B"/>
    <w:rsid w:val="00A01858"/>
    <w:rsid w:val="00A031D1"/>
    <w:rsid w:val="00A04445"/>
    <w:rsid w:val="00A045B2"/>
    <w:rsid w:val="00A1666E"/>
    <w:rsid w:val="00A34F78"/>
    <w:rsid w:val="00A45502"/>
    <w:rsid w:val="00A46738"/>
    <w:rsid w:val="00A61A98"/>
    <w:rsid w:val="00A62074"/>
    <w:rsid w:val="00A67C4A"/>
    <w:rsid w:val="00A67FC2"/>
    <w:rsid w:val="00A911EA"/>
    <w:rsid w:val="00A92ECF"/>
    <w:rsid w:val="00A94703"/>
    <w:rsid w:val="00A95C24"/>
    <w:rsid w:val="00AA11CC"/>
    <w:rsid w:val="00AB2E8A"/>
    <w:rsid w:val="00AD2635"/>
    <w:rsid w:val="00AE2292"/>
    <w:rsid w:val="00AE508E"/>
    <w:rsid w:val="00B001BD"/>
    <w:rsid w:val="00B1106C"/>
    <w:rsid w:val="00B12C5B"/>
    <w:rsid w:val="00B234EA"/>
    <w:rsid w:val="00B2749E"/>
    <w:rsid w:val="00B30119"/>
    <w:rsid w:val="00B439EE"/>
    <w:rsid w:val="00B464BB"/>
    <w:rsid w:val="00B4683F"/>
    <w:rsid w:val="00B46E3C"/>
    <w:rsid w:val="00B47E3D"/>
    <w:rsid w:val="00B61B9A"/>
    <w:rsid w:val="00B67971"/>
    <w:rsid w:val="00B73872"/>
    <w:rsid w:val="00B80B01"/>
    <w:rsid w:val="00B82474"/>
    <w:rsid w:val="00B84AD8"/>
    <w:rsid w:val="00B9095A"/>
    <w:rsid w:val="00B96C16"/>
    <w:rsid w:val="00BA31D3"/>
    <w:rsid w:val="00BC1063"/>
    <w:rsid w:val="00BC1865"/>
    <w:rsid w:val="00BD00AA"/>
    <w:rsid w:val="00BF5CDF"/>
    <w:rsid w:val="00BF65E4"/>
    <w:rsid w:val="00BF6DD2"/>
    <w:rsid w:val="00C0697F"/>
    <w:rsid w:val="00C41971"/>
    <w:rsid w:val="00C456F4"/>
    <w:rsid w:val="00C514FE"/>
    <w:rsid w:val="00C5508B"/>
    <w:rsid w:val="00C624AB"/>
    <w:rsid w:val="00C6536E"/>
    <w:rsid w:val="00C66AEF"/>
    <w:rsid w:val="00C70CF5"/>
    <w:rsid w:val="00C8208F"/>
    <w:rsid w:val="00C85391"/>
    <w:rsid w:val="00C917BA"/>
    <w:rsid w:val="00CA1A24"/>
    <w:rsid w:val="00CA274A"/>
    <w:rsid w:val="00CC6FE9"/>
    <w:rsid w:val="00CE42D1"/>
    <w:rsid w:val="00CE7CB3"/>
    <w:rsid w:val="00CF4D43"/>
    <w:rsid w:val="00D11D1C"/>
    <w:rsid w:val="00D2267A"/>
    <w:rsid w:val="00D2645C"/>
    <w:rsid w:val="00D34FBB"/>
    <w:rsid w:val="00D569AA"/>
    <w:rsid w:val="00D65693"/>
    <w:rsid w:val="00D67631"/>
    <w:rsid w:val="00D73046"/>
    <w:rsid w:val="00D73381"/>
    <w:rsid w:val="00D81971"/>
    <w:rsid w:val="00D83FDF"/>
    <w:rsid w:val="00D90031"/>
    <w:rsid w:val="00D92501"/>
    <w:rsid w:val="00DA5025"/>
    <w:rsid w:val="00DA5AF0"/>
    <w:rsid w:val="00DB28EC"/>
    <w:rsid w:val="00DB479A"/>
    <w:rsid w:val="00DD1D26"/>
    <w:rsid w:val="00DE3D76"/>
    <w:rsid w:val="00DE5DE8"/>
    <w:rsid w:val="00DF0379"/>
    <w:rsid w:val="00E16FB6"/>
    <w:rsid w:val="00E208B3"/>
    <w:rsid w:val="00E23F50"/>
    <w:rsid w:val="00E328F7"/>
    <w:rsid w:val="00E32AC6"/>
    <w:rsid w:val="00E42F98"/>
    <w:rsid w:val="00E57B4B"/>
    <w:rsid w:val="00E63E40"/>
    <w:rsid w:val="00E70C3C"/>
    <w:rsid w:val="00E770AB"/>
    <w:rsid w:val="00E85F24"/>
    <w:rsid w:val="00E92AEE"/>
    <w:rsid w:val="00EB4BDF"/>
    <w:rsid w:val="00ED3751"/>
    <w:rsid w:val="00ED3D55"/>
    <w:rsid w:val="00ED442B"/>
    <w:rsid w:val="00EE3278"/>
    <w:rsid w:val="00EF20A5"/>
    <w:rsid w:val="00F042B2"/>
    <w:rsid w:val="00F05C9F"/>
    <w:rsid w:val="00F12CD1"/>
    <w:rsid w:val="00F165FE"/>
    <w:rsid w:val="00F309E8"/>
    <w:rsid w:val="00F37EDB"/>
    <w:rsid w:val="00F54231"/>
    <w:rsid w:val="00F56DFE"/>
    <w:rsid w:val="00F62259"/>
    <w:rsid w:val="00F82C90"/>
    <w:rsid w:val="00F86BFA"/>
    <w:rsid w:val="00F87DC2"/>
    <w:rsid w:val="00F91164"/>
    <w:rsid w:val="00FA0907"/>
    <w:rsid w:val="00FA2DA7"/>
    <w:rsid w:val="00FB418C"/>
    <w:rsid w:val="00FB485C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Accent6">
    <w:name w:val="Grid Table 4 Accent 6"/>
    <w:basedOn w:val="TableNormal"/>
    <w:uiPriority w:val="49"/>
    <w:rsid w:val="00ED3D5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52F4-2C14-4284-B9E2-BB8998F4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kimete.ukaj</cp:lastModifiedBy>
  <cp:revision>24</cp:revision>
  <cp:lastPrinted>2019-04-16T07:52:00Z</cp:lastPrinted>
  <dcterms:created xsi:type="dcterms:W3CDTF">2020-05-18T11:14:00Z</dcterms:created>
  <dcterms:modified xsi:type="dcterms:W3CDTF">2020-05-20T13:20:00Z</dcterms:modified>
</cp:coreProperties>
</file>